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02DDE" w14:textId="77777777" w:rsidR="003A1F33" w:rsidRPr="00A45EDE" w:rsidRDefault="003A1F33" w:rsidP="003A1F33">
      <w:pPr>
        <w:spacing w:after="0"/>
        <w:rPr>
          <w:color w:val="000000" w:themeColor="text1"/>
        </w:rPr>
      </w:pPr>
      <w:r>
        <w:rPr>
          <w:noProof/>
        </w:rPr>
        <mc:AlternateContent>
          <mc:Choice Requires="wps">
            <w:drawing>
              <wp:anchor distT="0" distB="0" distL="114300" distR="114300" simplePos="0" relativeHeight="251661312" behindDoc="0" locked="0" layoutInCell="1" allowOverlap="1" wp14:anchorId="4382B6BD" wp14:editId="08A94CFA">
                <wp:simplePos x="0" y="0"/>
                <wp:positionH relativeFrom="column">
                  <wp:posOffset>906145</wp:posOffset>
                </wp:positionH>
                <wp:positionV relativeFrom="paragraph">
                  <wp:posOffset>-634365</wp:posOffset>
                </wp:positionV>
                <wp:extent cx="4110355" cy="1247140"/>
                <wp:effectExtent l="10795" t="13335" r="12700" b="63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0355" cy="1247140"/>
                        </a:xfrm>
                        <a:prstGeom prst="rect">
                          <a:avLst/>
                        </a:prstGeom>
                        <a:solidFill>
                          <a:schemeClr val="bg1">
                            <a:lumMod val="100000"/>
                            <a:lumOff val="0"/>
                          </a:schemeClr>
                        </a:solidFill>
                        <a:ln w="9525">
                          <a:solidFill>
                            <a:srgbClr val="7030A0"/>
                          </a:solidFill>
                          <a:miter lim="800000"/>
                          <a:headEnd/>
                          <a:tailEnd/>
                        </a:ln>
                      </wps:spPr>
                      <wps:txbx>
                        <w:txbxContent>
                          <w:p w14:paraId="6767EB87" w14:textId="77777777" w:rsidR="00724412" w:rsidRPr="003D2DA3" w:rsidRDefault="00724412" w:rsidP="00724412">
                            <w:pPr>
                              <w:spacing w:after="0" w:line="360" w:lineRule="auto"/>
                              <w:jc w:val="center"/>
                              <w:rPr>
                                <w:rFonts w:asciiTheme="minorBidi" w:eastAsia="Arial Unicode MS" w:hAnsiTheme="minorBidi"/>
                              </w:rPr>
                            </w:pPr>
                            <w:bookmarkStart w:id="0" w:name="_Hlk157542125"/>
                            <w:bookmarkStart w:id="1" w:name="_Hlk157542126"/>
                            <w:r w:rsidRPr="003D2DA3">
                              <w:rPr>
                                <w:rFonts w:asciiTheme="minorBidi" w:eastAsia="Arial Unicode MS" w:hAnsiTheme="minorBidi"/>
                              </w:rPr>
                              <w:t>Nigerian Journal of Physics (</w:t>
                            </w:r>
                            <w:proofErr w:type="spellStart"/>
                            <w:r w:rsidRPr="003D2DA3">
                              <w:rPr>
                                <w:rFonts w:asciiTheme="minorBidi" w:eastAsia="Arial Unicode MS" w:hAnsiTheme="minorBidi"/>
                              </w:rPr>
                              <w:t>NJP</w:t>
                            </w:r>
                            <w:proofErr w:type="spellEnd"/>
                            <w:r w:rsidRPr="003D2DA3">
                              <w:rPr>
                                <w:rFonts w:asciiTheme="minorBidi" w:eastAsia="Arial Unicode MS" w:hAnsiTheme="minorBidi"/>
                              </w:rPr>
                              <w:t>)</w:t>
                            </w:r>
                          </w:p>
                          <w:p w14:paraId="18C38FFC" w14:textId="77777777" w:rsidR="00724412" w:rsidRPr="003D2DA3" w:rsidRDefault="00724412" w:rsidP="00724412">
                            <w:pPr>
                              <w:spacing w:after="0" w:line="360" w:lineRule="auto"/>
                              <w:jc w:val="center"/>
                              <w:rPr>
                                <w:rFonts w:asciiTheme="minorBidi" w:eastAsia="Arial Unicode MS" w:hAnsiTheme="minorBidi"/>
                              </w:rPr>
                            </w:pPr>
                            <w:r w:rsidRPr="003D2DA3">
                              <w:rPr>
                                <w:rFonts w:asciiTheme="minorBidi" w:eastAsia="Arial Unicode MS" w:hAnsiTheme="minorBidi"/>
                              </w:rPr>
                              <w:t>ISSN online: 3027-0936</w:t>
                            </w:r>
                          </w:p>
                          <w:p w14:paraId="21776647" w14:textId="77777777" w:rsidR="00724412" w:rsidRPr="003D2DA3" w:rsidRDefault="00724412" w:rsidP="00724412">
                            <w:pPr>
                              <w:spacing w:after="0" w:line="360" w:lineRule="auto"/>
                              <w:jc w:val="center"/>
                              <w:rPr>
                                <w:rFonts w:asciiTheme="minorBidi" w:eastAsia="Arial Unicode MS" w:hAnsiTheme="minorBidi"/>
                              </w:rPr>
                            </w:pPr>
                            <w:r w:rsidRPr="003D2DA3">
                              <w:rPr>
                                <w:rFonts w:asciiTheme="minorBidi" w:eastAsia="Arial Unicode MS" w:hAnsiTheme="minorBidi"/>
                              </w:rPr>
                              <w:t>ISSN print: 1595-0611</w:t>
                            </w:r>
                          </w:p>
                          <w:p w14:paraId="7C9B8050" w14:textId="1D0BE6F4" w:rsidR="00724412" w:rsidRPr="003D2DA3" w:rsidRDefault="00724412" w:rsidP="00724412">
                            <w:pPr>
                              <w:spacing w:after="0" w:line="360" w:lineRule="auto"/>
                              <w:jc w:val="center"/>
                              <w:rPr>
                                <w:rFonts w:asciiTheme="minorBidi" w:eastAsia="Arial Unicode MS" w:hAnsiTheme="minorBidi"/>
                                <w:lang w:val="fr-FR"/>
                              </w:rPr>
                            </w:pPr>
                            <w:proofErr w:type="spellStart"/>
                            <w:proofErr w:type="gramStart"/>
                            <w:r w:rsidRPr="003D2DA3">
                              <w:rPr>
                                <w:rFonts w:asciiTheme="minorBidi" w:eastAsia="Arial Unicode MS" w:hAnsiTheme="minorBidi"/>
                                <w:lang w:val="fr-FR"/>
                              </w:rPr>
                              <w:t>DOI</w:t>
                            </w:r>
                            <w:proofErr w:type="spellEnd"/>
                            <w:r w:rsidRPr="003D2DA3">
                              <w:rPr>
                                <w:rFonts w:asciiTheme="minorBidi" w:eastAsia="Arial Unicode MS" w:hAnsiTheme="minorBidi"/>
                                <w:lang w:val="fr-FR"/>
                              </w:rPr>
                              <w:t>:</w:t>
                            </w:r>
                            <w:proofErr w:type="gramEnd"/>
                            <w:r w:rsidRPr="003D2DA3">
                              <w:rPr>
                                <w:rFonts w:asciiTheme="minorBidi" w:eastAsia="Arial Unicode MS" w:hAnsiTheme="minorBidi"/>
                                <w:lang w:val="fr-FR"/>
                              </w:rPr>
                              <w:t xml:space="preserve"> </w:t>
                            </w:r>
                            <w:hyperlink r:id="rId7" w:history="1">
                              <w:r w:rsidR="00FA68BB" w:rsidRPr="002A67FD">
                                <w:rPr>
                                  <w:rStyle w:val="Hyperlink"/>
                                  <w:rFonts w:asciiTheme="minorBidi" w:eastAsia="Arial Unicode MS" w:hAnsiTheme="minorBidi"/>
                                  <w:lang w:val="fr-FR"/>
                                </w:rPr>
                                <w:t>https://doi.org/10.62292/njp.v35(s).2026.653</w:t>
                              </w:r>
                            </w:hyperlink>
                            <w:r w:rsidRPr="003D2DA3">
                              <w:rPr>
                                <w:rFonts w:asciiTheme="minorBidi" w:eastAsia="Arial Unicode MS" w:hAnsiTheme="minorBidi"/>
                                <w:lang w:val="fr-FR"/>
                              </w:rPr>
                              <w:t xml:space="preserve"> </w:t>
                            </w:r>
                          </w:p>
                          <w:p w14:paraId="74968B0C" w14:textId="77777777" w:rsidR="00724412" w:rsidRPr="00C15264" w:rsidRDefault="00724412" w:rsidP="00724412">
                            <w:pPr>
                              <w:spacing w:after="0" w:line="240" w:lineRule="auto"/>
                              <w:jc w:val="center"/>
                              <w:rPr>
                                <w:sz w:val="20"/>
                                <w:szCs w:val="20"/>
                                <w:lang w:val="en-GB"/>
                              </w:rPr>
                            </w:pPr>
                            <w:r w:rsidRPr="003D2DA3">
                              <w:rPr>
                                <w:rFonts w:asciiTheme="minorBidi" w:eastAsia="Arial Unicode MS" w:hAnsiTheme="minorBidi"/>
                                <w:lang w:val="en-GB"/>
                              </w:rPr>
                              <w:t>Volume 35(</w:t>
                            </w:r>
                            <w:r>
                              <w:rPr>
                                <w:rFonts w:asciiTheme="minorBidi" w:eastAsia="Arial Unicode MS" w:hAnsiTheme="minorBidi"/>
                                <w:lang w:val="en-GB"/>
                              </w:rPr>
                              <w:t>S</w:t>
                            </w:r>
                            <w:r w:rsidRPr="003D2DA3">
                              <w:rPr>
                                <w:rFonts w:asciiTheme="minorBidi" w:eastAsia="Arial Unicode MS" w:hAnsiTheme="minorBidi"/>
                                <w:lang w:val="en-GB"/>
                              </w:rPr>
                              <w:t>), 2026</w:t>
                            </w:r>
                            <w:bookmarkEnd w:id="0"/>
                            <w:bookmarkEnd w:id="1"/>
                          </w:p>
                          <w:p w14:paraId="66587BBD" w14:textId="77777777" w:rsidR="00724412" w:rsidRPr="00C15264" w:rsidRDefault="00724412" w:rsidP="003A1F33">
                            <w:pPr>
                              <w:spacing w:after="0" w:line="240" w:lineRule="auto"/>
                              <w:rPr>
                                <w:sz w:val="20"/>
                                <w:szCs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2B6BD" id="_x0000_t202" coordsize="21600,21600" o:spt="202" path="m,l,21600r21600,l21600,xe">
                <v:stroke joinstyle="miter"/>
                <v:path gradientshapeok="t" o:connecttype="rect"/>
              </v:shapetype>
              <v:shape id="Text Box 2" o:spid="_x0000_s1026" type="#_x0000_t202" style="position:absolute;margin-left:71.35pt;margin-top:-49.95pt;width:323.65pt;height:9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" fillcolor="white [3212]" strokecolor="#7030a0">
                <v:textbox>
                  <w:txbxContent>
                    <w:p w14:paraId="6767EB87" w14:textId="77777777" w:rsidR="00724412" w:rsidRPr="003D2DA3" w:rsidRDefault="00724412" w:rsidP="00724412">
                      <w:pPr>
                        <w:spacing w:after="0" w:line="360" w:lineRule="auto"/>
                        <w:jc w:val="center"/>
                        <w:rPr>
                          <w:rFonts w:asciiTheme="minorBidi" w:eastAsia="Arial Unicode MS" w:hAnsiTheme="minorBidi"/>
                        </w:rPr>
                      </w:pPr>
                      <w:bookmarkStart w:id="2" w:name="_Hlk157542125"/>
                      <w:bookmarkStart w:id="3" w:name="_Hlk157542126"/>
                      <w:r w:rsidRPr="003D2DA3">
                        <w:rPr>
                          <w:rFonts w:asciiTheme="minorBidi" w:eastAsia="Arial Unicode MS" w:hAnsiTheme="minorBidi"/>
                        </w:rPr>
                        <w:t>Nigerian Journal of Physics (</w:t>
                      </w:r>
                      <w:proofErr w:type="spellStart"/>
                      <w:r w:rsidRPr="003D2DA3">
                        <w:rPr>
                          <w:rFonts w:asciiTheme="minorBidi" w:eastAsia="Arial Unicode MS" w:hAnsiTheme="minorBidi"/>
                        </w:rPr>
                        <w:t>NJP</w:t>
                      </w:r>
                      <w:proofErr w:type="spellEnd"/>
                      <w:r w:rsidRPr="003D2DA3">
                        <w:rPr>
                          <w:rFonts w:asciiTheme="minorBidi" w:eastAsia="Arial Unicode MS" w:hAnsiTheme="minorBidi"/>
                        </w:rPr>
                        <w:t>)</w:t>
                      </w:r>
                    </w:p>
                    <w:p w14:paraId="18C38FFC" w14:textId="77777777" w:rsidR="00724412" w:rsidRPr="003D2DA3" w:rsidRDefault="00724412" w:rsidP="00724412">
                      <w:pPr>
                        <w:spacing w:after="0" w:line="360" w:lineRule="auto"/>
                        <w:jc w:val="center"/>
                        <w:rPr>
                          <w:rFonts w:asciiTheme="minorBidi" w:eastAsia="Arial Unicode MS" w:hAnsiTheme="minorBidi"/>
                        </w:rPr>
                      </w:pPr>
                      <w:r w:rsidRPr="003D2DA3">
                        <w:rPr>
                          <w:rFonts w:asciiTheme="minorBidi" w:eastAsia="Arial Unicode MS" w:hAnsiTheme="minorBidi"/>
                        </w:rPr>
                        <w:t>ISSN online: 3027-0936</w:t>
                      </w:r>
                    </w:p>
                    <w:p w14:paraId="21776647" w14:textId="77777777" w:rsidR="00724412" w:rsidRPr="003D2DA3" w:rsidRDefault="00724412" w:rsidP="00724412">
                      <w:pPr>
                        <w:spacing w:after="0" w:line="360" w:lineRule="auto"/>
                        <w:jc w:val="center"/>
                        <w:rPr>
                          <w:rFonts w:asciiTheme="minorBidi" w:eastAsia="Arial Unicode MS" w:hAnsiTheme="minorBidi"/>
                        </w:rPr>
                      </w:pPr>
                      <w:r w:rsidRPr="003D2DA3">
                        <w:rPr>
                          <w:rFonts w:asciiTheme="minorBidi" w:eastAsia="Arial Unicode MS" w:hAnsiTheme="minorBidi"/>
                        </w:rPr>
                        <w:t>ISSN print: 1595-0611</w:t>
                      </w:r>
                    </w:p>
                    <w:p w14:paraId="7C9B8050" w14:textId="1D0BE6F4" w:rsidR="00724412" w:rsidRPr="003D2DA3" w:rsidRDefault="00724412" w:rsidP="00724412">
                      <w:pPr>
                        <w:spacing w:after="0" w:line="360" w:lineRule="auto"/>
                        <w:jc w:val="center"/>
                        <w:rPr>
                          <w:rFonts w:asciiTheme="minorBidi" w:eastAsia="Arial Unicode MS" w:hAnsiTheme="minorBidi"/>
                          <w:lang w:val="fr-FR"/>
                        </w:rPr>
                      </w:pPr>
                      <w:proofErr w:type="spellStart"/>
                      <w:proofErr w:type="gramStart"/>
                      <w:r w:rsidRPr="003D2DA3">
                        <w:rPr>
                          <w:rFonts w:asciiTheme="minorBidi" w:eastAsia="Arial Unicode MS" w:hAnsiTheme="minorBidi"/>
                          <w:lang w:val="fr-FR"/>
                        </w:rPr>
                        <w:t>DOI</w:t>
                      </w:r>
                      <w:proofErr w:type="spellEnd"/>
                      <w:r w:rsidRPr="003D2DA3">
                        <w:rPr>
                          <w:rFonts w:asciiTheme="minorBidi" w:eastAsia="Arial Unicode MS" w:hAnsiTheme="minorBidi"/>
                          <w:lang w:val="fr-FR"/>
                        </w:rPr>
                        <w:t>:</w:t>
                      </w:r>
                      <w:proofErr w:type="gramEnd"/>
                      <w:r w:rsidRPr="003D2DA3">
                        <w:rPr>
                          <w:rFonts w:asciiTheme="minorBidi" w:eastAsia="Arial Unicode MS" w:hAnsiTheme="minorBidi"/>
                          <w:lang w:val="fr-FR"/>
                        </w:rPr>
                        <w:t xml:space="preserve"> </w:t>
                      </w:r>
                      <w:hyperlink r:id="rId8" w:history="1">
                        <w:r w:rsidR="00FA68BB" w:rsidRPr="002A67FD">
                          <w:rPr>
                            <w:rStyle w:val="Hyperlink"/>
                            <w:rFonts w:asciiTheme="minorBidi" w:eastAsia="Arial Unicode MS" w:hAnsiTheme="minorBidi"/>
                            <w:lang w:val="fr-FR"/>
                          </w:rPr>
                          <w:t>https://doi.org/10.62292/njp.v35(s).2026.653</w:t>
                        </w:r>
                      </w:hyperlink>
                      <w:r w:rsidRPr="003D2DA3">
                        <w:rPr>
                          <w:rFonts w:asciiTheme="minorBidi" w:eastAsia="Arial Unicode MS" w:hAnsiTheme="minorBidi"/>
                          <w:lang w:val="fr-FR"/>
                        </w:rPr>
                        <w:t xml:space="preserve"> </w:t>
                      </w:r>
                    </w:p>
                    <w:p w14:paraId="74968B0C" w14:textId="77777777" w:rsidR="00724412" w:rsidRPr="00C15264" w:rsidRDefault="00724412" w:rsidP="00724412">
                      <w:pPr>
                        <w:spacing w:after="0" w:line="240" w:lineRule="auto"/>
                        <w:jc w:val="center"/>
                        <w:rPr>
                          <w:sz w:val="20"/>
                          <w:szCs w:val="20"/>
                          <w:lang w:val="en-GB"/>
                        </w:rPr>
                      </w:pPr>
                      <w:r w:rsidRPr="003D2DA3">
                        <w:rPr>
                          <w:rFonts w:asciiTheme="minorBidi" w:eastAsia="Arial Unicode MS" w:hAnsiTheme="minorBidi"/>
                          <w:lang w:val="en-GB"/>
                        </w:rPr>
                        <w:t>Volume 35(</w:t>
                      </w:r>
                      <w:r>
                        <w:rPr>
                          <w:rFonts w:asciiTheme="minorBidi" w:eastAsia="Arial Unicode MS" w:hAnsiTheme="minorBidi"/>
                          <w:lang w:val="en-GB"/>
                        </w:rPr>
                        <w:t>S</w:t>
                      </w:r>
                      <w:r w:rsidRPr="003D2DA3">
                        <w:rPr>
                          <w:rFonts w:asciiTheme="minorBidi" w:eastAsia="Arial Unicode MS" w:hAnsiTheme="minorBidi"/>
                          <w:lang w:val="en-GB"/>
                        </w:rPr>
                        <w:t>), 2026</w:t>
                      </w:r>
                      <w:bookmarkEnd w:id="2"/>
                      <w:bookmarkEnd w:id="3"/>
                    </w:p>
                    <w:p w14:paraId="66587BBD" w14:textId="77777777" w:rsidR="00724412" w:rsidRPr="00C15264" w:rsidRDefault="00724412" w:rsidP="003A1F33">
                      <w:pPr>
                        <w:spacing w:after="0" w:line="240" w:lineRule="auto"/>
                        <w:rPr>
                          <w:sz w:val="20"/>
                          <w:szCs w:val="20"/>
                          <w:lang w:val="en-GB"/>
                        </w:rPr>
                      </w:pPr>
                    </w:p>
                  </w:txbxContent>
                </v:textbox>
              </v:shape>
            </w:pict>
          </mc:Fallback>
        </mc:AlternateContent>
      </w:r>
      <w:r>
        <w:rPr>
          <w:noProof/>
        </w:rPr>
        <w:drawing>
          <wp:anchor distT="0" distB="0" distL="114300" distR="114300" simplePos="0" relativeHeight="251660288" behindDoc="0" locked="0" layoutInCell="1" allowOverlap="1" wp14:anchorId="61FABDE7" wp14:editId="6B5431C3">
            <wp:simplePos x="0" y="0"/>
            <wp:positionH relativeFrom="column">
              <wp:posOffset>5080635</wp:posOffset>
            </wp:positionH>
            <wp:positionV relativeFrom="paragraph">
              <wp:posOffset>-432435</wp:posOffset>
            </wp:positionV>
            <wp:extent cx="844550" cy="869950"/>
            <wp:effectExtent l="0" t="0" r="0" b="0"/>
            <wp:wrapNone/>
            <wp:docPr id="1794855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4550" cy="8699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180606CB" wp14:editId="3A3F6473">
                <wp:simplePos x="0" y="0"/>
                <wp:positionH relativeFrom="column">
                  <wp:posOffset>-668020</wp:posOffset>
                </wp:positionH>
                <wp:positionV relativeFrom="paragraph">
                  <wp:posOffset>-518795</wp:posOffset>
                </wp:positionV>
                <wp:extent cx="6845935" cy="1076325"/>
                <wp:effectExtent l="8255" t="14605" r="13335" b="13970"/>
                <wp:wrapNone/>
                <wp:docPr id="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935" cy="1076325"/>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30E5EF" id="Rectangle 19" o:spid="_x0000_s1026" style="position:absolute;margin-left:-52.6pt;margin-top:-40.85pt;width:539.05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" fillcolor="white [3212]" strokecolor="white [3212]" strokeweight="1pt"/>
            </w:pict>
          </mc:Fallback>
        </mc:AlternateContent>
      </w:r>
      <w:r>
        <w:rPr>
          <w:noProof/>
        </w:rPr>
        <w:drawing>
          <wp:anchor distT="0" distB="0" distL="114300" distR="114300" simplePos="0" relativeHeight="251662336" behindDoc="0" locked="0" layoutInCell="1" allowOverlap="1" wp14:anchorId="2CFD6D4A" wp14:editId="11567DBD">
            <wp:simplePos x="0" y="0"/>
            <wp:positionH relativeFrom="column">
              <wp:posOffset>0</wp:posOffset>
            </wp:positionH>
            <wp:positionV relativeFrom="paragraph">
              <wp:posOffset>-448310</wp:posOffset>
            </wp:positionV>
            <wp:extent cx="843915" cy="866140"/>
            <wp:effectExtent l="0" t="0" r="0" b="0"/>
            <wp:wrapNone/>
            <wp:docPr id="228487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3915" cy="866140"/>
                    </a:xfrm>
                    <a:prstGeom prst="rect">
                      <a:avLst/>
                    </a:prstGeom>
                    <a:noFill/>
                  </pic:spPr>
                </pic:pic>
              </a:graphicData>
            </a:graphic>
            <wp14:sizeRelH relativeFrom="page">
              <wp14:pctWidth>0</wp14:pctWidth>
            </wp14:sizeRelH>
            <wp14:sizeRelV relativeFrom="page">
              <wp14:pctHeight>0</wp14:pctHeight>
            </wp14:sizeRelV>
          </wp:anchor>
        </w:drawing>
      </w:r>
    </w:p>
    <w:p w14:paraId="4C3C473C" w14:textId="77777777" w:rsidR="003A1F33" w:rsidRPr="00A45EDE" w:rsidRDefault="003A1F33" w:rsidP="003A1F33">
      <w:pPr>
        <w:spacing w:after="0" w:line="360" w:lineRule="auto"/>
        <w:rPr>
          <w:color w:val="000000" w:themeColor="text1"/>
        </w:rPr>
      </w:pPr>
    </w:p>
    <w:p w14:paraId="3F859B5E" w14:textId="77777777" w:rsidR="003A1F33" w:rsidRDefault="003A1F33" w:rsidP="003A1F33">
      <w:pPr>
        <w:spacing w:after="0" w:line="240" w:lineRule="auto"/>
        <w:jc w:val="center"/>
        <w:rPr>
          <w:rFonts w:ascii="Times New Roman" w:eastAsia="Calibri" w:hAnsi="Times New Roman" w:cs="Times New Roman"/>
          <w:b/>
          <w:bCs/>
          <w:sz w:val="24"/>
          <w:szCs w:val="24"/>
        </w:rPr>
      </w:pPr>
      <w:bookmarkStart w:id="4" w:name="_Hlk208405634"/>
    </w:p>
    <w:p w14:paraId="303DB574" w14:textId="10160DFB" w:rsidR="00771CEC" w:rsidRPr="00771CEC" w:rsidRDefault="00A1016E" w:rsidP="00771CEC">
      <w:pPr>
        <w:spacing w:after="0" w:line="240" w:lineRule="auto"/>
        <w:jc w:val="center"/>
        <w:rPr>
          <w:rFonts w:ascii="Times New Roman" w:hAnsi="Times New Roman" w:cs="Times New Roman"/>
          <w:b/>
          <w:bCs/>
          <w:sz w:val="24"/>
          <w:szCs w:val="24"/>
          <w:lang w:val="zh-CN" w:eastAsia="zh-CN"/>
        </w:rPr>
      </w:pPr>
      <w:bookmarkStart w:id="5" w:name="_Hlk196565421"/>
      <w:bookmarkEnd w:id="4"/>
      <w:bookmarkEnd w:id="5"/>
      <w:r w:rsidRPr="00FD174A">
        <w:rPr>
          <w:rFonts w:ascii="Times New Roman" w:hAnsi="Times New Roman" w:cs="Times New Roman"/>
          <w:noProof/>
          <w:sz w:val="28"/>
          <w:szCs w:val="28"/>
        </w:rPr>
        <w:drawing>
          <wp:anchor distT="0" distB="0" distL="114300" distR="114300" simplePos="0" relativeHeight="251664384" behindDoc="0" locked="0" layoutInCell="1" allowOverlap="1" wp14:anchorId="334FC68C" wp14:editId="5A932715">
            <wp:simplePos x="0" y="0"/>
            <wp:positionH relativeFrom="column">
              <wp:posOffset>5873261</wp:posOffset>
            </wp:positionH>
            <wp:positionV relativeFrom="paragraph">
              <wp:posOffset>258445</wp:posOffset>
            </wp:positionV>
            <wp:extent cx="357505" cy="357505"/>
            <wp:effectExtent l="0" t="0" r="4445" b="4445"/>
            <wp:wrapNone/>
            <wp:docPr id="5075349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3498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57505" cy="357505"/>
                    </a:xfrm>
                    <a:prstGeom prst="rect">
                      <a:avLst/>
                    </a:prstGeom>
                  </pic:spPr>
                </pic:pic>
              </a:graphicData>
            </a:graphic>
            <wp14:sizeRelH relativeFrom="page">
              <wp14:pctWidth>0</wp14:pctWidth>
            </wp14:sizeRelH>
            <wp14:sizeRelV relativeFrom="page">
              <wp14:pctHeight>0</wp14:pctHeight>
            </wp14:sizeRelV>
          </wp:anchor>
        </w:drawing>
      </w:r>
      <w:r w:rsidR="00771CEC" w:rsidRPr="00771CEC">
        <w:rPr>
          <w:rFonts w:ascii="Times New Roman" w:hAnsi="Times New Roman" w:cs="Times New Roman" w:hint="eastAsia"/>
          <w:b/>
          <w:bCs/>
          <w:sz w:val="24"/>
          <w:szCs w:val="24"/>
          <w:lang w:val="zh-CN" w:eastAsia="zh-CN"/>
        </w:rPr>
        <w:t>Long-Term Radiological Dose and Cancer Risk Assessment at Hongyum/Pongyum Quarry</w:t>
      </w:r>
      <w:r w:rsidR="00771CEC" w:rsidRPr="00771CEC">
        <w:rPr>
          <w:rFonts w:ascii="Times New Roman" w:hAnsi="Times New Roman" w:cs="Times New Roman"/>
          <w:b/>
          <w:bCs/>
          <w:sz w:val="24"/>
          <w:szCs w:val="24"/>
          <w:lang w:eastAsia="zh-CN"/>
        </w:rPr>
        <w:t xml:space="preserve"> site</w:t>
      </w:r>
      <w:r w:rsidR="00771CEC" w:rsidRPr="00771CEC">
        <w:rPr>
          <w:rFonts w:ascii="Times New Roman" w:hAnsi="Times New Roman" w:cs="Times New Roman" w:hint="eastAsia"/>
          <w:b/>
          <w:bCs/>
          <w:sz w:val="24"/>
          <w:szCs w:val="24"/>
          <w:lang w:val="zh-CN" w:eastAsia="zh-CN"/>
        </w:rPr>
        <w:t>, Mpape Using RESRAD-Onsite 7.2</w:t>
      </w:r>
    </w:p>
    <w:p w14:paraId="4A66EE25" w14:textId="77777777" w:rsidR="00771CEC" w:rsidRPr="00771CEC" w:rsidRDefault="00771CEC" w:rsidP="00771CEC">
      <w:pPr>
        <w:spacing w:after="0" w:line="240" w:lineRule="auto"/>
        <w:jc w:val="center"/>
        <w:rPr>
          <w:rFonts w:ascii="Times New Roman" w:hAnsi="Times New Roman" w:cs="Times New Roman"/>
          <w:b/>
          <w:bCs/>
          <w:sz w:val="20"/>
          <w:szCs w:val="20"/>
          <w:lang w:val="zh-CN" w:eastAsia="zh-CN"/>
        </w:rPr>
      </w:pPr>
    </w:p>
    <w:p w14:paraId="69CAD476" w14:textId="765A826C" w:rsidR="00771CEC" w:rsidRPr="00771CEC" w:rsidRDefault="00771CEC" w:rsidP="00771CEC">
      <w:pPr>
        <w:spacing w:after="0" w:line="240" w:lineRule="auto"/>
        <w:jc w:val="center"/>
        <w:rPr>
          <w:rFonts w:ascii="Times New Roman" w:hAnsi="Times New Roman" w:cs="Times New Roman"/>
          <w:b/>
          <w:bCs/>
          <w:sz w:val="20"/>
          <w:szCs w:val="20"/>
          <w:lang w:val="zh-CN" w:eastAsia="zh-CN"/>
        </w:rPr>
      </w:pPr>
      <w:r w:rsidRPr="00771CEC">
        <w:rPr>
          <w:rFonts w:ascii="Times New Roman" w:hAnsi="Times New Roman" w:cs="Times New Roman"/>
          <w:b/>
          <w:bCs/>
          <w:sz w:val="20"/>
          <w:szCs w:val="20"/>
          <w:lang w:eastAsia="zh-CN"/>
        </w:rPr>
        <w:t>*</w:t>
      </w:r>
      <w:r w:rsidRPr="00771CEC">
        <w:rPr>
          <w:rFonts w:ascii="Times New Roman" w:hAnsi="Times New Roman" w:cs="Times New Roman" w:hint="eastAsia"/>
          <w:b/>
          <w:bCs/>
          <w:sz w:val="20"/>
          <w:szCs w:val="20"/>
          <w:lang w:val="zh-CN" w:eastAsia="zh-CN"/>
        </w:rPr>
        <w:t>Celestina Ezekwudo</w:t>
      </w:r>
      <w:r w:rsidRPr="00771CEC">
        <w:rPr>
          <w:rFonts w:ascii="Times New Roman" w:hAnsi="Times New Roman" w:cs="Times New Roman"/>
          <w:b/>
          <w:bCs/>
          <w:sz w:val="20"/>
          <w:szCs w:val="20"/>
          <w:lang w:eastAsia="zh-CN"/>
        </w:rPr>
        <w:t xml:space="preserve"> </w:t>
      </w:r>
      <w:r w:rsidRPr="00771CEC">
        <w:rPr>
          <w:rFonts w:ascii="Times New Roman" w:hAnsi="Times New Roman" w:cs="Times New Roman" w:hint="eastAsia"/>
          <w:b/>
          <w:bCs/>
          <w:sz w:val="20"/>
          <w:szCs w:val="20"/>
          <w:lang w:val="zh-CN" w:eastAsia="zh-CN"/>
        </w:rPr>
        <w:t>and Raymond Abenga</w:t>
      </w:r>
    </w:p>
    <w:p w14:paraId="25459699" w14:textId="77777777" w:rsidR="00771CEC" w:rsidRPr="00771CEC" w:rsidRDefault="00771CEC" w:rsidP="00771CEC">
      <w:pPr>
        <w:spacing w:after="0" w:line="240" w:lineRule="auto"/>
        <w:jc w:val="center"/>
        <w:rPr>
          <w:rFonts w:ascii="Times New Roman" w:hAnsi="Times New Roman" w:cs="Times New Roman"/>
          <w:b/>
          <w:bCs/>
          <w:sz w:val="20"/>
          <w:szCs w:val="20"/>
          <w:lang w:val="zh-CN" w:eastAsia="zh-CN"/>
        </w:rPr>
      </w:pPr>
    </w:p>
    <w:p w14:paraId="79AF3C5A" w14:textId="77777777" w:rsidR="00771CEC" w:rsidRPr="00771CEC" w:rsidRDefault="00771CEC" w:rsidP="00771CEC">
      <w:pPr>
        <w:spacing w:after="0" w:line="240" w:lineRule="auto"/>
        <w:jc w:val="center"/>
        <w:rPr>
          <w:rFonts w:ascii="Times New Roman" w:hAnsi="Times New Roman" w:cs="Times New Roman"/>
          <w:sz w:val="20"/>
          <w:szCs w:val="20"/>
          <w:lang w:eastAsia="zh-CN"/>
        </w:rPr>
      </w:pPr>
      <w:r w:rsidRPr="00771CEC">
        <w:rPr>
          <w:rFonts w:ascii="Times New Roman" w:hAnsi="Times New Roman" w:cs="Times New Roman" w:hint="eastAsia"/>
          <w:sz w:val="20"/>
          <w:szCs w:val="20"/>
          <w:lang w:val="zh-CN" w:eastAsia="zh-CN"/>
        </w:rPr>
        <w:t>Department of Physics, Veritas University Abuja, FCT, Abuja, Nigeria</w:t>
      </w:r>
      <w:r w:rsidRPr="00771CEC">
        <w:rPr>
          <w:rFonts w:ascii="Times New Roman" w:hAnsi="Times New Roman" w:cs="Times New Roman"/>
          <w:sz w:val="20"/>
          <w:szCs w:val="20"/>
          <w:lang w:eastAsia="zh-CN"/>
        </w:rPr>
        <w:t>.</w:t>
      </w:r>
    </w:p>
    <w:p w14:paraId="52AB418E" w14:textId="77777777" w:rsidR="00771CEC" w:rsidRPr="00771CEC" w:rsidRDefault="00771CEC" w:rsidP="00771CEC">
      <w:pPr>
        <w:spacing w:after="0" w:line="240" w:lineRule="auto"/>
        <w:jc w:val="center"/>
        <w:rPr>
          <w:rFonts w:ascii="Times New Roman" w:hAnsi="Times New Roman" w:cs="Times New Roman"/>
          <w:b/>
          <w:bCs/>
          <w:sz w:val="20"/>
          <w:szCs w:val="20"/>
          <w:lang w:eastAsia="zh-CN"/>
        </w:rPr>
      </w:pPr>
    </w:p>
    <w:p w14:paraId="0C3EAE72" w14:textId="46A80597" w:rsidR="003A1F33" w:rsidRPr="000E7899" w:rsidRDefault="003A1F33" w:rsidP="00617390">
      <w:pPr>
        <w:spacing w:after="0" w:line="240" w:lineRule="auto"/>
        <w:jc w:val="center"/>
        <w:rPr>
          <w:rFonts w:ascii="Times New Roman" w:hAnsi="Times New Roman" w:cs="Times New Roman"/>
          <w:sz w:val="20"/>
          <w:szCs w:val="20"/>
        </w:rPr>
      </w:pPr>
      <w:r w:rsidRPr="0093588F">
        <w:rPr>
          <w:rFonts w:asciiTheme="majorBidi" w:eastAsia="Calibri" w:hAnsiTheme="majorBidi" w:cstheme="majorBidi"/>
          <w:sz w:val="20"/>
          <w:szCs w:val="20"/>
        </w:rPr>
        <w:t>*Corresponding Author’s Email:</w:t>
      </w:r>
      <w:r w:rsidRPr="0093588F">
        <w:rPr>
          <w:rFonts w:asciiTheme="majorBidi" w:hAnsiTheme="majorBidi" w:cstheme="majorBidi"/>
          <w:sz w:val="20"/>
          <w:szCs w:val="20"/>
        </w:rPr>
        <w:t xml:space="preserve"> </w:t>
      </w:r>
      <w:hyperlink r:id="rId13" w:history="1">
        <w:r w:rsidR="00771CEC" w:rsidRPr="009452FA">
          <w:rPr>
            <w:rStyle w:val="Hyperlink"/>
            <w:rFonts w:asciiTheme="majorBidi" w:hAnsiTheme="majorBidi" w:cstheme="majorBidi"/>
            <w:sz w:val="20"/>
            <w:szCs w:val="20"/>
          </w:rPr>
          <w:t>ezekwudoc@veritas.edu.ng</w:t>
        </w:r>
      </w:hyperlink>
    </w:p>
    <w:p w14:paraId="18EF84E3" w14:textId="77777777" w:rsidR="003A1F33" w:rsidRDefault="003A1F33" w:rsidP="003559FB">
      <w:pPr>
        <w:spacing w:after="0" w:line="240" w:lineRule="auto"/>
        <w:ind w:left="142" w:hanging="142"/>
        <w:jc w:val="center"/>
        <w:rPr>
          <w:rFonts w:ascii="Times New Roman" w:hAnsi="Times New Roman" w:cs="Times New Roman"/>
          <w:color w:val="000000" w:themeColor="text1"/>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6721"/>
      </w:tblGrid>
      <w:tr w:rsidR="00A1016E" w:rsidRPr="00BB3E29" w14:paraId="6ED1F2A5" w14:textId="77777777" w:rsidTr="00167E8C">
        <w:trPr>
          <w:trHeight w:val="3644"/>
          <w:jc w:val="center"/>
        </w:trPr>
        <w:tc>
          <w:tcPr>
            <w:tcW w:w="2641" w:type="dxa"/>
            <w:tcBorders>
              <w:top w:val="single" w:sz="4" w:space="0" w:color="auto"/>
            </w:tcBorders>
          </w:tcPr>
          <w:p w14:paraId="4052DBE9" w14:textId="77777777" w:rsidR="00A1016E" w:rsidRPr="00BB3E29" w:rsidRDefault="00A1016E" w:rsidP="00DB1589">
            <w:pPr>
              <w:jc w:val="both"/>
              <w:rPr>
                <w:rFonts w:ascii="Times New Roman" w:eastAsia="Calibri" w:hAnsi="Times New Roman" w:cs="Times New Roman"/>
                <w:color w:val="000000" w:themeColor="text1"/>
                <w:sz w:val="20"/>
                <w:szCs w:val="20"/>
              </w:rPr>
            </w:pPr>
            <w:bookmarkStart w:id="6" w:name="_Hlk233971936"/>
            <w:r w:rsidRPr="00BB3E29">
              <w:rPr>
                <w:rFonts w:ascii="Times New Roman" w:eastAsia="Calibri" w:hAnsi="Times New Roman" w:cs="Times New Roman"/>
                <w:b/>
                <w:bCs/>
                <w:color w:val="000000" w:themeColor="text1"/>
                <w:sz w:val="20"/>
                <w:szCs w:val="20"/>
              </w:rPr>
              <w:t>Keywords</w:t>
            </w:r>
            <w:r w:rsidRPr="00BB3E29">
              <w:rPr>
                <w:rFonts w:ascii="Times New Roman" w:eastAsia="Calibri" w:hAnsi="Times New Roman" w:cs="Times New Roman"/>
                <w:color w:val="000000" w:themeColor="text1"/>
                <w:sz w:val="20"/>
                <w:szCs w:val="20"/>
              </w:rPr>
              <w:t xml:space="preserve">: </w:t>
            </w:r>
          </w:p>
          <w:p w14:paraId="39EA5B06" w14:textId="77777777" w:rsidR="00FA0857" w:rsidRDefault="00FA0857" w:rsidP="00FA0857">
            <w:pPr>
              <w:rPr>
                <w:rFonts w:ascii="Times New Roman" w:hAnsi="Times New Roman" w:cs="Times New Roman"/>
                <w:sz w:val="20"/>
                <w:szCs w:val="20"/>
              </w:rPr>
            </w:pPr>
            <w:r w:rsidRPr="00FA0857">
              <w:rPr>
                <w:rFonts w:ascii="Times New Roman" w:hAnsi="Times New Roman" w:cs="Times New Roman"/>
                <w:sz w:val="20"/>
                <w:szCs w:val="20"/>
              </w:rPr>
              <w:t xml:space="preserve">RESRAD-Onsite 7.2, </w:t>
            </w:r>
          </w:p>
          <w:p w14:paraId="591C4E42" w14:textId="77777777" w:rsidR="00FA0857" w:rsidRDefault="00FA0857" w:rsidP="00FA0857">
            <w:pPr>
              <w:rPr>
                <w:rFonts w:ascii="Times New Roman" w:hAnsi="Times New Roman" w:cs="Times New Roman"/>
                <w:sz w:val="20"/>
                <w:szCs w:val="20"/>
              </w:rPr>
            </w:pPr>
            <w:r w:rsidRPr="00FA0857">
              <w:rPr>
                <w:rFonts w:ascii="Times New Roman" w:hAnsi="Times New Roman" w:cs="Times New Roman"/>
                <w:sz w:val="20"/>
                <w:szCs w:val="20"/>
              </w:rPr>
              <w:t xml:space="preserve">Long-Term Radiological Dose, </w:t>
            </w:r>
          </w:p>
          <w:p w14:paraId="653FDD13" w14:textId="77777777" w:rsidR="00FA0857" w:rsidRDefault="00FA0857" w:rsidP="00FA0857">
            <w:pPr>
              <w:rPr>
                <w:rFonts w:ascii="Times New Roman" w:hAnsi="Times New Roman" w:cs="Times New Roman"/>
                <w:sz w:val="20"/>
                <w:szCs w:val="20"/>
              </w:rPr>
            </w:pPr>
            <w:r w:rsidRPr="00FA0857">
              <w:rPr>
                <w:rFonts w:ascii="Times New Roman" w:hAnsi="Times New Roman" w:cs="Times New Roman"/>
                <w:sz w:val="20"/>
                <w:szCs w:val="20"/>
              </w:rPr>
              <w:t xml:space="preserve">NORMs, </w:t>
            </w:r>
          </w:p>
          <w:p w14:paraId="4D992E0E" w14:textId="77777777" w:rsidR="00FA0857" w:rsidRDefault="00FA0857" w:rsidP="00FA0857">
            <w:pPr>
              <w:rPr>
                <w:rFonts w:ascii="Times New Roman" w:hAnsi="Times New Roman" w:cs="Times New Roman"/>
                <w:sz w:val="20"/>
                <w:szCs w:val="20"/>
              </w:rPr>
            </w:pPr>
            <w:r w:rsidRPr="00FA0857">
              <w:rPr>
                <w:rFonts w:ascii="Times New Roman" w:hAnsi="Times New Roman" w:cs="Times New Roman"/>
                <w:sz w:val="20"/>
                <w:szCs w:val="20"/>
              </w:rPr>
              <w:t xml:space="preserve">Excess Cancer Risk, </w:t>
            </w:r>
          </w:p>
          <w:p w14:paraId="776DF1AF" w14:textId="5E11027C" w:rsidR="00A1016E" w:rsidRPr="00BB3E29" w:rsidRDefault="00FA0857" w:rsidP="00FA0857">
            <w:pPr>
              <w:rPr>
                <w:rFonts w:ascii="Times New Roman" w:eastAsia="Calibri" w:hAnsi="Times New Roman" w:cs="Times New Roman"/>
                <w:color w:val="000000" w:themeColor="text1"/>
                <w:sz w:val="20"/>
                <w:szCs w:val="20"/>
              </w:rPr>
            </w:pPr>
            <w:proofErr w:type="spellStart"/>
            <w:proofErr w:type="gramStart"/>
            <w:r w:rsidRPr="00FA0857">
              <w:rPr>
                <w:rFonts w:ascii="Times New Roman" w:hAnsi="Times New Roman" w:cs="Times New Roman"/>
                <w:sz w:val="20"/>
                <w:szCs w:val="20"/>
              </w:rPr>
              <w:t>NaI</w:t>
            </w:r>
            <w:proofErr w:type="spellEnd"/>
            <w:r w:rsidRPr="00FA0857">
              <w:rPr>
                <w:rFonts w:ascii="Times New Roman" w:hAnsi="Times New Roman" w:cs="Times New Roman"/>
                <w:sz w:val="20"/>
                <w:szCs w:val="20"/>
              </w:rPr>
              <w:t>(</w:t>
            </w:r>
            <w:proofErr w:type="gramEnd"/>
            <w:r w:rsidRPr="00FA0857">
              <w:rPr>
                <w:rFonts w:ascii="Times New Roman" w:hAnsi="Times New Roman" w:cs="Times New Roman"/>
                <w:sz w:val="20"/>
                <w:szCs w:val="20"/>
              </w:rPr>
              <w:t>Tl) Spectrometry</w:t>
            </w:r>
          </w:p>
        </w:tc>
        <w:tc>
          <w:tcPr>
            <w:tcW w:w="6721" w:type="dxa"/>
            <w:vMerge w:val="restart"/>
            <w:tcBorders>
              <w:top w:val="single" w:sz="4" w:space="0" w:color="auto"/>
            </w:tcBorders>
          </w:tcPr>
          <w:p w14:paraId="4FDDB46B" w14:textId="77777777" w:rsidR="00A1016E" w:rsidRPr="007D1B37" w:rsidRDefault="00A1016E" w:rsidP="007D1B37">
            <w:pPr>
              <w:rPr>
                <w:rFonts w:ascii="Times New Roman" w:hAnsi="Times New Roman" w:cs="Times New Roman"/>
                <w:b/>
                <w:bCs/>
                <w:color w:val="000000" w:themeColor="text1"/>
                <w:sz w:val="20"/>
                <w:szCs w:val="20"/>
                <w:lang w:val="en-GB"/>
              </w:rPr>
            </w:pPr>
            <w:r w:rsidRPr="007D1B37">
              <w:rPr>
                <w:rFonts w:ascii="Times New Roman" w:hAnsi="Times New Roman" w:cs="Times New Roman"/>
                <w:b/>
                <w:bCs/>
                <w:color w:val="000000" w:themeColor="text1"/>
                <w:sz w:val="20"/>
                <w:szCs w:val="20"/>
                <w:lang w:val="en-GB"/>
              </w:rPr>
              <w:t>ABSTRACT</w:t>
            </w:r>
          </w:p>
          <w:p w14:paraId="075F51CE" w14:textId="0631CE7E" w:rsidR="00A1016E" w:rsidRPr="007D1B37" w:rsidRDefault="00771CEC" w:rsidP="007D1B37">
            <w:pPr>
              <w:jc w:val="both"/>
              <w:rPr>
                <w:rFonts w:ascii="Times New Roman" w:eastAsiaTheme="minorHAnsi" w:hAnsi="Times New Roman" w:cs="Times New Roman"/>
                <w:sz w:val="20"/>
                <w:szCs w:val="20"/>
                <w:lang w:eastAsia="zh-CN"/>
              </w:rPr>
            </w:pPr>
            <w:r w:rsidRPr="007D1B37">
              <w:rPr>
                <w:rFonts w:ascii="Times New Roman" w:hAnsi="Times New Roman" w:cs="Times New Roman"/>
                <w:sz w:val="20"/>
                <w:szCs w:val="20"/>
              </w:rPr>
              <w:t xml:space="preserve">The RESRAD-Onsite 7.2 code was applied to assess the long-term total radiological dose and excess cancer risk at the </w:t>
            </w:r>
            <w:proofErr w:type="spellStart"/>
            <w:r w:rsidRPr="007D1B37">
              <w:rPr>
                <w:rFonts w:ascii="Times New Roman" w:hAnsi="Times New Roman" w:cs="Times New Roman"/>
                <w:sz w:val="20"/>
                <w:szCs w:val="20"/>
              </w:rPr>
              <w:t>Hongyum</w:t>
            </w:r>
            <w:proofErr w:type="spellEnd"/>
            <w:r w:rsidRPr="007D1B37">
              <w:rPr>
                <w:rFonts w:ascii="Times New Roman" w:hAnsi="Times New Roman" w:cs="Times New Roman"/>
                <w:sz w:val="20"/>
                <w:szCs w:val="20"/>
              </w:rPr>
              <w:t>/</w:t>
            </w:r>
            <w:proofErr w:type="spellStart"/>
            <w:r w:rsidRPr="007D1B37">
              <w:rPr>
                <w:rFonts w:ascii="Times New Roman" w:hAnsi="Times New Roman" w:cs="Times New Roman"/>
                <w:sz w:val="20"/>
                <w:szCs w:val="20"/>
              </w:rPr>
              <w:t>Pongyum</w:t>
            </w:r>
            <w:proofErr w:type="spellEnd"/>
            <w:r w:rsidRPr="007D1B37">
              <w:rPr>
                <w:rFonts w:ascii="Times New Roman" w:hAnsi="Times New Roman" w:cs="Times New Roman"/>
                <w:sz w:val="20"/>
                <w:szCs w:val="20"/>
              </w:rPr>
              <w:t xml:space="preserve"> Quarry site, </w:t>
            </w:r>
            <w:proofErr w:type="spellStart"/>
            <w:r w:rsidRPr="007D1B37">
              <w:rPr>
                <w:rFonts w:ascii="Times New Roman" w:hAnsi="Times New Roman" w:cs="Times New Roman"/>
                <w:sz w:val="20"/>
                <w:szCs w:val="20"/>
              </w:rPr>
              <w:t>Mpape</w:t>
            </w:r>
            <w:proofErr w:type="spellEnd"/>
            <w:r w:rsidRPr="007D1B37">
              <w:rPr>
                <w:rFonts w:ascii="Times New Roman" w:hAnsi="Times New Roman" w:cs="Times New Roman"/>
                <w:sz w:val="20"/>
                <w:szCs w:val="20"/>
              </w:rPr>
              <w:t xml:space="preserve">, Federal Capital Territory (FCT), Nigeria, over an area of 183,800 m² and a zone thickness of 2.00 m, for a simulation </w:t>
            </w:r>
            <w:bookmarkStart w:id="7" w:name="_GoBack"/>
            <w:bookmarkEnd w:id="7"/>
            <w:r w:rsidRPr="007D1B37">
              <w:rPr>
                <w:rFonts w:ascii="Times New Roman" w:hAnsi="Times New Roman" w:cs="Times New Roman"/>
                <w:sz w:val="20"/>
                <w:szCs w:val="20"/>
              </w:rPr>
              <w:t xml:space="preserve">period of </w:t>
            </w:r>
            <m:oMath>
              <m:r>
                <m:rPr>
                  <m:sty m:val="p"/>
                </m:rPr>
                <w:rPr>
                  <w:rFonts w:ascii="Cambria Math" w:hAnsi="Cambria Math" w:cs="Times New Roman"/>
                  <w:sz w:val="20"/>
                  <w:szCs w:val="20"/>
                </w:rPr>
                <m:t>1.0 × 10³</m:t>
              </m:r>
            </m:oMath>
            <w:r w:rsidRPr="007D1B37">
              <w:rPr>
                <w:rFonts w:ascii="Times New Roman" w:hAnsi="Times New Roman" w:cs="Times New Roman"/>
                <w:sz w:val="20"/>
                <w:szCs w:val="20"/>
              </w:rPr>
              <w:t xml:space="preserve"> years. Mean activity concentrations of </w:t>
            </w:r>
            <m:oMath>
              <m:r>
                <m:rPr>
                  <m:sty m:val="p"/>
                </m:rPr>
                <w:rPr>
                  <w:rFonts w:ascii="Cambria Math" w:hAnsi="Cambria Math" w:cs="Times New Roman"/>
                  <w:sz w:val="20"/>
                  <w:szCs w:val="20"/>
                </w:rPr>
                <m:t>930.57 ± 61.89</m:t>
              </m:r>
            </m:oMath>
            <w:r w:rsidRPr="007D1B37">
              <w:rPr>
                <w:rFonts w:ascii="Times New Roman" w:hAnsi="Times New Roman" w:cs="Times New Roman"/>
                <w:sz w:val="20"/>
                <w:szCs w:val="20"/>
              </w:rPr>
              <w:t xml:space="preserve"> </w:t>
            </w:r>
            <m:oMath>
              <m:r>
                <m:rPr>
                  <m:sty m:val="p"/>
                </m:rPr>
                <w:rPr>
                  <w:rFonts w:ascii="Cambria Math" w:hAnsi="Cambria Math" w:cs="Times New Roman"/>
                  <w:sz w:val="20"/>
                  <w:szCs w:val="20"/>
                </w:rPr>
                <m:t>Bq kg⁻¹</m:t>
              </m:r>
            </m:oMath>
            <w:r w:rsidRPr="007D1B37">
              <w:rPr>
                <w:rFonts w:ascii="Times New Roman" w:hAnsi="Times New Roman" w:cs="Times New Roman"/>
                <w:sz w:val="20"/>
                <w:szCs w:val="20"/>
              </w:rPr>
              <w:t>,</w:t>
            </w:r>
            <m:oMath>
              <m:r>
                <m:rPr>
                  <m:sty m:val="p"/>
                </m:rPr>
                <w:rPr>
                  <w:rFonts w:ascii="Cambria Math" w:hAnsi="Cambria Math" w:cs="Times New Roman"/>
                  <w:sz w:val="20"/>
                  <w:szCs w:val="20"/>
                </w:rPr>
                <m:t xml:space="preserve"> 25.34 ± 4.32 Bq kg⁻¹</m:t>
              </m:r>
            </m:oMath>
            <w:r w:rsidRPr="007D1B37">
              <w:rPr>
                <w:rFonts w:ascii="Times New Roman" w:hAnsi="Times New Roman" w:cs="Times New Roman"/>
                <w:sz w:val="20"/>
                <w:szCs w:val="20"/>
              </w:rPr>
              <w:t xml:space="preserve">, and </w:t>
            </w:r>
            <m:oMath>
              <m:r>
                <m:rPr>
                  <m:sty m:val="p"/>
                </m:rPr>
                <w:rPr>
                  <w:rFonts w:ascii="Cambria Math" w:hAnsi="Cambria Math" w:cs="Times New Roman"/>
                  <w:sz w:val="20"/>
                  <w:szCs w:val="20"/>
                </w:rPr>
                <m:t>76.28 ± 4.81 Bq kg⁻¹</m:t>
              </m:r>
            </m:oMath>
            <w:r w:rsidRPr="007D1B37">
              <w:rPr>
                <w:rFonts w:ascii="Times New Roman" w:hAnsi="Times New Roman" w:cs="Times New Roman"/>
                <w:sz w:val="20"/>
                <w:szCs w:val="20"/>
              </w:rPr>
              <w:t xml:space="preserve"> were determined for </w:t>
            </w:r>
            <w:r w:rsidRPr="007D1B37">
              <w:rPr>
                <w:rFonts w:ascii="Times New Roman" w:hAnsi="Times New Roman" w:cs="Times New Roman"/>
                <w:sz w:val="20"/>
                <w:szCs w:val="20"/>
                <w:vertAlign w:val="superscript"/>
              </w:rPr>
              <w:t>40</w:t>
            </w:r>
            <w:r w:rsidRPr="007D1B37">
              <w:rPr>
                <w:rFonts w:ascii="Times New Roman" w:hAnsi="Times New Roman" w:cs="Times New Roman"/>
                <w:sz w:val="20"/>
                <w:szCs w:val="20"/>
              </w:rPr>
              <w:t xml:space="preserve">K, </w:t>
            </w:r>
            <w:r w:rsidRPr="007D1B37">
              <w:rPr>
                <w:rFonts w:ascii="Times New Roman" w:hAnsi="Times New Roman" w:cs="Times New Roman"/>
                <w:sz w:val="20"/>
                <w:szCs w:val="20"/>
                <w:vertAlign w:val="superscript"/>
              </w:rPr>
              <w:t>226</w:t>
            </w:r>
            <w:r w:rsidRPr="007D1B37">
              <w:rPr>
                <w:rFonts w:ascii="Times New Roman" w:hAnsi="Times New Roman" w:cs="Times New Roman"/>
                <w:sz w:val="20"/>
                <w:szCs w:val="20"/>
              </w:rPr>
              <w:t xml:space="preserve">Ra, and </w:t>
            </w:r>
            <w:r w:rsidRPr="007D1B37">
              <w:rPr>
                <w:rFonts w:ascii="Times New Roman" w:hAnsi="Times New Roman" w:cs="Times New Roman"/>
                <w:sz w:val="20"/>
                <w:szCs w:val="20"/>
                <w:vertAlign w:val="superscript"/>
              </w:rPr>
              <w:t>232</w:t>
            </w:r>
            <w:r w:rsidRPr="007D1B37">
              <w:rPr>
                <w:rFonts w:ascii="Times New Roman" w:hAnsi="Times New Roman" w:cs="Times New Roman"/>
                <w:sz w:val="20"/>
                <w:szCs w:val="20"/>
              </w:rPr>
              <w:t xml:space="preserve">Th, respectively using a </w:t>
            </w:r>
            <w:proofErr w:type="spellStart"/>
            <w:r w:rsidRPr="007D1B37">
              <w:rPr>
                <w:rFonts w:ascii="Times New Roman" w:hAnsi="Times New Roman" w:cs="Times New Roman"/>
                <w:sz w:val="20"/>
                <w:szCs w:val="20"/>
              </w:rPr>
              <w:t>NaI</w:t>
            </w:r>
            <w:proofErr w:type="spellEnd"/>
            <w:r w:rsidRPr="007D1B37">
              <w:rPr>
                <w:rFonts w:ascii="Times New Roman" w:hAnsi="Times New Roman" w:cs="Times New Roman"/>
                <w:sz w:val="20"/>
                <w:szCs w:val="20"/>
              </w:rPr>
              <w:t xml:space="preserve">(Tl) gamma spectrometry system. Concentrations of </w:t>
            </w:r>
            <w:r w:rsidRPr="007D1B37">
              <w:rPr>
                <w:rFonts w:ascii="Times New Roman" w:hAnsi="Times New Roman" w:cs="Times New Roman"/>
                <w:sz w:val="20"/>
                <w:szCs w:val="20"/>
                <w:vertAlign w:val="superscript"/>
              </w:rPr>
              <w:t>40</w:t>
            </w:r>
            <w:r w:rsidRPr="007D1B37">
              <w:rPr>
                <w:rFonts w:ascii="Times New Roman" w:hAnsi="Times New Roman" w:cs="Times New Roman"/>
                <w:sz w:val="20"/>
                <w:szCs w:val="20"/>
              </w:rPr>
              <w:t xml:space="preserve">K and </w:t>
            </w:r>
            <w:r w:rsidRPr="007D1B37">
              <w:rPr>
                <w:rFonts w:ascii="Times New Roman" w:hAnsi="Times New Roman" w:cs="Times New Roman"/>
                <w:sz w:val="20"/>
                <w:szCs w:val="20"/>
                <w:vertAlign w:val="superscript"/>
              </w:rPr>
              <w:t>232</w:t>
            </w:r>
            <w:r w:rsidRPr="007D1B37">
              <w:rPr>
                <w:rFonts w:ascii="Times New Roman" w:hAnsi="Times New Roman" w:cs="Times New Roman"/>
                <w:sz w:val="20"/>
                <w:szCs w:val="20"/>
              </w:rPr>
              <w:t xml:space="preserve">Th exceeded the UNSCEAR (2000) world average values at all quarry sampling points, while </w:t>
            </w:r>
            <w:r w:rsidRPr="007D1B37">
              <w:rPr>
                <w:rFonts w:ascii="Times New Roman" w:hAnsi="Times New Roman" w:cs="Times New Roman"/>
                <w:sz w:val="20"/>
                <w:szCs w:val="20"/>
                <w:vertAlign w:val="superscript"/>
              </w:rPr>
              <w:t>226</w:t>
            </w:r>
            <w:r w:rsidRPr="007D1B37">
              <w:rPr>
                <w:rFonts w:ascii="Times New Roman" w:hAnsi="Times New Roman" w:cs="Times New Roman"/>
                <w:sz w:val="20"/>
                <w:szCs w:val="20"/>
              </w:rPr>
              <w:t xml:space="preserve">Ra remained below the world average at five of the six sampling points. The total dose at t = 0 years for all pathways was </w:t>
            </w:r>
            <m:oMath>
              <m:r>
                <m:rPr>
                  <m:sty m:val="p"/>
                </m:rPr>
                <w:rPr>
                  <w:rFonts w:ascii="Cambria Math" w:hAnsi="Cambria Math" w:cs="Times New Roman"/>
                  <w:sz w:val="20"/>
                  <w:szCs w:val="20"/>
                </w:rPr>
                <m:t xml:space="preserve">7.878E-01 mSv </m:t>
              </m:r>
              <m:sSup>
                <m:sSupPr>
                  <m:ctrlPr>
                    <w:rPr>
                      <w:rFonts w:ascii="Cambria Math" w:hAnsi="Cambria Math" w:cs="Times New Roman"/>
                      <w:sz w:val="20"/>
                      <w:szCs w:val="20"/>
                    </w:rPr>
                  </m:ctrlPr>
                </m:sSupPr>
                <m:e>
                  <m:r>
                    <m:rPr>
                      <m:sty m:val="p"/>
                    </m:rPr>
                    <w:rPr>
                      <w:rFonts w:ascii="Cambria Math" w:hAnsi="Cambria Math" w:cs="Times New Roman"/>
                      <w:sz w:val="20"/>
                      <w:szCs w:val="20"/>
                    </w:rPr>
                    <m:t>yr</m:t>
                  </m:r>
                </m:e>
                <m:sup>
                  <m:r>
                    <m:rPr>
                      <m:sty m:val="p"/>
                    </m:rPr>
                    <w:rPr>
                      <w:rFonts w:ascii="Cambria Math" w:hAnsi="Cambria Math" w:cs="Times New Roman"/>
                      <w:sz w:val="20"/>
                      <w:szCs w:val="20"/>
                    </w:rPr>
                    <m:t>-1</m:t>
                  </m:r>
                </m:sup>
              </m:sSup>
            </m:oMath>
            <w:r w:rsidRPr="007D1B37">
              <w:rPr>
                <w:rFonts w:ascii="Times New Roman" w:hAnsi="Times New Roman" w:cs="Times New Roman"/>
                <w:sz w:val="20"/>
                <w:szCs w:val="20"/>
              </w:rPr>
              <w:t xml:space="preserve">. The maximum total dose of </w:t>
            </w:r>
            <m:oMath>
              <m:r>
                <m:rPr>
                  <m:sty m:val="p"/>
                </m:rPr>
                <w:rPr>
                  <w:rFonts w:ascii="Cambria Math" w:hAnsi="Cambria Math" w:cs="Times New Roman"/>
                  <w:sz w:val="20"/>
                  <w:szCs w:val="20"/>
                </w:rPr>
                <m:t xml:space="preserve">1.156E+00 mSv </m:t>
              </m:r>
              <m:sSup>
                <m:sSupPr>
                  <m:ctrlPr>
                    <w:rPr>
                      <w:rFonts w:ascii="Cambria Math" w:hAnsi="Cambria Math" w:cs="Times New Roman"/>
                      <w:sz w:val="20"/>
                      <w:szCs w:val="20"/>
                    </w:rPr>
                  </m:ctrlPr>
                </m:sSupPr>
                <m:e>
                  <m:r>
                    <m:rPr>
                      <m:sty m:val="p"/>
                    </m:rPr>
                    <w:rPr>
                      <w:rFonts w:ascii="Cambria Math" w:hAnsi="Cambria Math" w:cs="Times New Roman"/>
                      <w:sz w:val="20"/>
                      <w:szCs w:val="20"/>
                    </w:rPr>
                    <m:t>yr</m:t>
                  </m:r>
                </m:e>
                <m:sup>
                  <m:r>
                    <m:rPr>
                      <m:sty m:val="p"/>
                    </m:rPr>
                    <w:rPr>
                      <w:rFonts w:ascii="Cambria Math" w:hAnsi="Cambria Math" w:cs="Times New Roman"/>
                      <w:sz w:val="20"/>
                      <w:szCs w:val="20"/>
                    </w:rPr>
                    <m:t>-1</m:t>
                  </m:r>
                </m:sup>
              </m:sSup>
            </m:oMath>
            <w:r w:rsidRPr="007D1B37">
              <w:rPr>
                <w:rFonts w:ascii="Times New Roman" w:hAnsi="Times New Roman" w:cs="Times New Roman"/>
                <w:sz w:val="20"/>
                <w:szCs w:val="20"/>
              </w:rPr>
              <w:t xml:space="preserve"> was obtained at t = 37.65 ± 0.08 years, exceeding the Basic Radiation Dose Limit (BRDL) of </w:t>
            </w:r>
            <m:oMath>
              <m:r>
                <m:rPr>
                  <m:sty m:val="p"/>
                </m:rPr>
                <w:rPr>
                  <w:rFonts w:ascii="Cambria Math" w:hAnsi="Cambria Math" w:cs="Times New Roman"/>
                  <w:sz w:val="20"/>
                  <w:szCs w:val="20"/>
                </w:rPr>
                <m:t xml:space="preserve">1.000E+00 mSv </m:t>
              </m:r>
              <m:sSup>
                <m:sSupPr>
                  <m:ctrlPr>
                    <w:rPr>
                      <w:rFonts w:ascii="Cambria Math" w:hAnsi="Cambria Math" w:cs="Times New Roman"/>
                      <w:sz w:val="20"/>
                      <w:szCs w:val="20"/>
                    </w:rPr>
                  </m:ctrlPr>
                </m:sSupPr>
                <m:e>
                  <m:r>
                    <m:rPr>
                      <m:sty m:val="p"/>
                    </m:rPr>
                    <w:rPr>
                      <w:rFonts w:ascii="Cambria Math" w:hAnsi="Cambria Math" w:cs="Times New Roman"/>
                      <w:sz w:val="20"/>
                      <w:szCs w:val="20"/>
                    </w:rPr>
                    <m:t>yr</m:t>
                  </m:r>
                </m:e>
                <m:sup>
                  <m:r>
                    <m:rPr>
                      <m:sty m:val="p"/>
                    </m:rPr>
                    <w:rPr>
                      <w:rFonts w:ascii="Cambria Math" w:hAnsi="Cambria Math" w:cs="Times New Roman"/>
                      <w:sz w:val="20"/>
                      <w:szCs w:val="20"/>
                    </w:rPr>
                    <m:t>-1</m:t>
                  </m:r>
                </m:sup>
              </m:sSup>
            </m:oMath>
            <w:r w:rsidRPr="007D1B37">
              <w:rPr>
                <w:rFonts w:ascii="Times New Roman" w:hAnsi="Times New Roman" w:cs="Times New Roman"/>
                <w:sz w:val="20"/>
                <w:szCs w:val="20"/>
              </w:rPr>
              <w:t xml:space="preserve">. The total excess cancer risk at t = 0 years was </w:t>
            </w:r>
            <m:oMath>
              <m:r>
                <m:rPr>
                  <m:sty m:val="p"/>
                </m:rPr>
                <w:rPr>
                  <w:rFonts w:ascii="Cambria Math" w:hAnsi="Cambria Math" w:cs="Times New Roman"/>
                  <w:sz w:val="20"/>
                  <w:szCs w:val="20"/>
                </w:rPr>
                <m:t>3.306E-03</m:t>
              </m:r>
            </m:oMath>
            <w:r w:rsidRPr="007D1B37">
              <w:rPr>
                <w:rFonts w:ascii="Times New Roman" w:hAnsi="Times New Roman" w:cs="Times New Roman"/>
                <w:sz w:val="20"/>
                <w:szCs w:val="20"/>
              </w:rPr>
              <w:t xml:space="preserve">, </w:t>
            </w:r>
            <w:proofErr w:type="gramStart"/>
            <w:r w:rsidRPr="007D1B37">
              <w:rPr>
                <w:rFonts w:ascii="Times New Roman" w:hAnsi="Times New Roman" w:cs="Times New Roman"/>
                <w:sz w:val="20"/>
                <w:szCs w:val="20"/>
              </w:rPr>
              <w:t>and  a</w:t>
            </w:r>
            <w:proofErr w:type="gramEnd"/>
            <w:r w:rsidRPr="007D1B37">
              <w:rPr>
                <w:rFonts w:ascii="Times New Roman" w:hAnsi="Times New Roman" w:cs="Times New Roman"/>
                <w:sz w:val="20"/>
                <w:szCs w:val="20"/>
              </w:rPr>
              <w:t xml:space="preserve"> remediation scenario using a 1.25 m clean soil cover reduced the total dose by 82.6% and the total excess cancer risk by 85.5%. The </w:t>
            </w:r>
            <w:proofErr w:type="spellStart"/>
            <w:r w:rsidRPr="007D1B37">
              <w:rPr>
                <w:rFonts w:ascii="Times New Roman" w:hAnsi="Times New Roman" w:cs="Times New Roman"/>
                <w:sz w:val="20"/>
                <w:szCs w:val="20"/>
              </w:rPr>
              <w:t>Hongyum</w:t>
            </w:r>
            <w:proofErr w:type="spellEnd"/>
            <w:r w:rsidRPr="007D1B37">
              <w:rPr>
                <w:rFonts w:ascii="Times New Roman" w:hAnsi="Times New Roman" w:cs="Times New Roman"/>
                <w:sz w:val="20"/>
                <w:szCs w:val="20"/>
              </w:rPr>
              <w:t>/</w:t>
            </w:r>
            <w:proofErr w:type="spellStart"/>
            <w:r w:rsidRPr="007D1B37">
              <w:rPr>
                <w:rFonts w:ascii="Times New Roman" w:hAnsi="Times New Roman" w:cs="Times New Roman"/>
                <w:sz w:val="20"/>
                <w:szCs w:val="20"/>
              </w:rPr>
              <w:t>Pongyum</w:t>
            </w:r>
            <w:proofErr w:type="spellEnd"/>
            <w:r w:rsidRPr="007D1B37">
              <w:rPr>
                <w:rFonts w:ascii="Times New Roman" w:hAnsi="Times New Roman" w:cs="Times New Roman"/>
                <w:sz w:val="20"/>
                <w:szCs w:val="20"/>
              </w:rPr>
              <w:t xml:space="preserve"> Quarry site presents an unacceptable radiological cancer burden under current unmitigated conditions. While the 1.25 m clean soil cover is an effective first remediation step, supplementary radon attenuation measures are required alongside the soil cover to bring the site within the WHO-acceptable cancer risk threshold.</w:t>
            </w:r>
          </w:p>
        </w:tc>
      </w:tr>
      <w:tr w:rsidR="00A1016E" w:rsidRPr="00BB3E29" w14:paraId="3DA9C26B" w14:textId="77777777" w:rsidTr="00A1016E">
        <w:trPr>
          <w:trHeight w:val="692"/>
          <w:jc w:val="center"/>
        </w:trPr>
        <w:tc>
          <w:tcPr>
            <w:tcW w:w="2641" w:type="dxa"/>
            <w:tcBorders>
              <w:bottom w:val="single" w:sz="4" w:space="0" w:color="auto"/>
            </w:tcBorders>
            <w:vAlign w:val="bottom"/>
          </w:tcPr>
          <w:p w14:paraId="6EBFFDB0" w14:textId="57D9CD21" w:rsidR="002A637C" w:rsidRDefault="002A637C" w:rsidP="002A637C">
            <w:pPr>
              <w:spacing w:line="480" w:lineRule="auto"/>
              <w:rPr>
                <w:rFonts w:ascii="Times New Roman" w:eastAsia="Calibri" w:hAnsi="Times New Roman" w:cs="Times New Roman"/>
                <w:color w:val="000000" w:themeColor="text1"/>
                <w:sz w:val="20"/>
                <w:szCs w:val="20"/>
              </w:rPr>
            </w:pPr>
            <w:r w:rsidRPr="00A1016E">
              <w:rPr>
                <w:rFonts w:ascii="Times New Roman" w:eastAsia="Calibri" w:hAnsi="Times New Roman" w:cs="Times New Roman"/>
                <w:b/>
                <w:bCs/>
                <w:color w:val="000000" w:themeColor="text1"/>
                <w:sz w:val="20"/>
                <w:szCs w:val="20"/>
              </w:rPr>
              <w:t>Submitted</w:t>
            </w:r>
            <w:r>
              <w:rPr>
                <w:rFonts w:ascii="Times New Roman" w:eastAsia="Calibri" w:hAnsi="Times New Roman" w:cs="Times New Roman"/>
                <w:color w:val="000000" w:themeColor="text1"/>
                <w:sz w:val="20"/>
                <w:szCs w:val="20"/>
              </w:rPr>
              <w:t xml:space="preserve">: </w:t>
            </w:r>
            <w:r w:rsidR="00460892">
              <w:rPr>
                <w:rFonts w:ascii="Times New Roman" w:eastAsia="Calibri" w:hAnsi="Times New Roman" w:cs="Times New Roman"/>
                <w:color w:val="000000" w:themeColor="text1"/>
                <w:sz w:val="20"/>
                <w:szCs w:val="20"/>
              </w:rPr>
              <w:t>2</w:t>
            </w:r>
            <w:r w:rsidR="002235B9">
              <w:rPr>
                <w:rFonts w:ascii="Times New Roman" w:eastAsia="Calibri" w:hAnsi="Times New Roman" w:cs="Times New Roman"/>
                <w:color w:val="000000" w:themeColor="text1"/>
                <w:sz w:val="20"/>
                <w:szCs w:val="20"/>
              </w:rPr>
              <w:t>0</w:t>
            </w:r>
            <w:r>
              <w:rPr>
                <w:rFonts w:ascii="Times New Roman" w:eastAsia="Calibri" w:hAnsi="Times New Roman" w:cs="Times New Roman"/>
                <w:color w:val="000000" w:themeColor="text1"/>
                <w:sz w:val="20"/>
                <w:szCs w:val="20"/>
              </w:rPr>
              <w:t xml:space="preserve"> </w:t>
            </w:r>
            <w:r w:rsidR="00460892">
              <w:rPr>
                <w:rFonts w:ascii="Times New Roman" w:eastAsia="Calibri" w:hAnsi="Times New Roman" w:cs="Times New Roman"/>
                <w:color w:val="000000" w:themeColor="text1"/>
                <w:sz w:val="20"/>
                <w:szCs w:val="20"/>
              </w:rPr>
              <w:t>July</w:t>
            </w:r>
            <w:r>
              <w:rPr>
                <w:rFonts w:ascii="Times New Roman" w:eastAsia="Calibri" w:hAnsi="Times New Roman" w:cs="Times New Roman"/>
                <w:color w:val="000000" w:themeColor="text1"/>
                <w:sz w:val="20"/>
                <w:szCs w:val="20"/>
              </w:rPr>
              <w:t xml:space="preserve"> 2026</w:t>
            </w:r>
          </w:p>
          <w:p w14:paraId="5674380E" w14:textId="352FB136" w:rsidR="002A637C" w:rsidRDefault="002A637C" w:rsidP="002A637C">
            <w:pPr>
              <w:spacing w:line="480" w:lineRule="auto"/>
              <w:rPr>
                <w:rFonts w:ascii="Times New Roman" w:eastAsia="Calibri" w:hAnsi="Times New Roman" w:cs="Times New Roman"/>
                <w:color w:val="000000" w:themeColor="text1"/>
                <w:sz w:val="20"/>
                <w:szCs w:val="20"/>
              </w:rPr>
            </w:pPr>
            <w:r w:rsidRPr="00A1016E">
              <w:rPr>
                <w:rFonts w:ascii="Times New Roman" w:eastAsia="Calibri" w:hAnsi="Times New Roman" w:cs="Times New Roman"/>
                <w:b/>
                <w:bCs/>
                <w:color w:val="000000" w:themeColor="text1"/>
                <w:sz w:val="20"/>
                <w:szCs w:val="20"/>
              </w:rPr>
              <w:t>Accepted</w:t>
            </w:r>
            <w:r>
              <w:rPr>
                <w:rFonts w:ascii="Times New Roman" w:eastAsia="Calibri" w:hAnsi="Times New Roman" w:cs="Times New Roman"/>
                <w:color w:val="000000" w:themeColor="text1"/>
                <w:sz w:val="20"/>
                <w:szCs w:val="20"/>
              </w:rPr>
              <w:t>: 1</w:t>
            </w:r>
            <w:r w:rsidR="00460892">
              <w:rPr>
                <w:rFonts w:ascii="Times New Roman" w:eastAsia="Calibri" w:hAnsi="Times New Roman" w:cs="Times New Roman"/>
                <w:color w:val="000000" w:themeColor="text1"/>
                <w:sz w:val="20"/>
                <w:szCs w:val="20"/>
              </w:rPr>
              <w:t>7</w:t>
            </w:r>
            <w:r>
              <w:rPr>
                <w:rFonts w:ascii="Times New Roman" w:eastAsia="Calibri" w:hAnsi="Times New Roman" w:cs="Times New Roman"/>
                <w:color w:val="000000" w:themeColor="text1"/>
                <w:sz w:val="20"/>
                <w:szCs w:val="20"/>
              </w:rPr>
              <w:t xml:space="preserve"> </w:t>
            </w:r>
            <w:r w:rsidR="00460892">
              <w:rPr>
                <w:rFonts w:ascii="Times New Roman" w:eastAsia="Calibri" w:hAnsi="Times New Roman" w:cs="Times New Roman"/>
                <w:color w:val="000000" w:themeColor="text1"/>
                <w:sz w:val="20"/>
                <w:szCs w:val="20"/>
              </w:rPr>
              <w:t>Aug.</w:t>
            </w:r>
            <w:r>
              <w:rPr>
                <w:rFonts w:ascii="Times New Roman" w:eastAsia="Calibri" w:hAnsi="Times New Roman" w:cs="Times New Roman"/>
                <w:color w:val="000000" w:themeColor="text1"/>
                <w:sz w:val="20"/>
                <w:szCs w:val="20"/>
              </w:rPr>
              <w:t xml:space="preserve"> 2026</w:t>
            </w:r>
          </w:p>
          <w:p w14:paraId="7A957159" w14:textId="00FF7E05" w:rsidR="00A1016E" w:rsidRPr="00BB3E29" w:rsidRDefault="002A637C" w:rsidP="002A637C">
            <w:pPr>
              <w:rPr>
                <w:rFonts w:ascii="Times New Roman" w:eastAsia="Calibri" w:hAnsi="Times New Roman" w:cs="Times New Roman"/>
                <w:b/>
                <w:bCs/>
                <w:color w:val="000000" w:themeColor="text1"/>
                <w:sz w:val="20"/>
                <w:szCs w:val="20"/>
              </w:rPr>
            </w:pPr>
            <w:r w:rsidRPr="00A1016E">
              <w:rPr>
                <w:rFonts w:ascii="Times New Roman" w:eastAsia="Calibri" w:hAnsi="Times New Roman" w:cs="Times New Roman"/>
                <w:b/>
                <w:bCs/>
                <w:color w:val="000000" w:themeColor="text1"/>
                <w:sz w:val="20"/>
                <w:szCs w:val="20"/>
              </w:rPr>
              <w:t>Published</w:t>
            </w:r>
            <w:r>
              <w:rPr>
                <w:rFonts w:ascii="Times New Roman" w:eastAsia="Calibri" w:hAnsi="Times New Roman" w:cs="Times New Roman"/>
                <w:color w:val="000000" w:themeColor="text1"/>
                <w:sz w:val="20"/>
                <w:szCs w:val="20"/>
              </w:rPr>
              <w:t xml:space="preserve">: </w:t>
            </w:r>
            <w:r w:rsidR="00077D71">
              <w:rPr>
                <w:rFonts w:ascii="Times New Roman" w:eastAsia="Calibri" w:hAnsi="Times New Roman" w:cs="Times New Roman"/>
                <w:color w:val="000000" w:themeColor="text1"/>
                <w:sz w:val="20"/>
                <w:szCs w:val="20"/>
              </w:rPr>
              <w:t>09</w:t>
            </w:r>
            <w:r>
              <w:rPr>
                <w:rFonts w:ascii="Times New Roman" w:eastAsia="Calibri" w:hAnsi="Times New Roman" w:cs="Times New Roman"/>
                <w:color w:val="000000" w:themeColor="text1"/>
                <w:sz w:val="20"/>
                <w:szCs w:val="20"/>
              </w:rPr>
              <w:t xml:space="preserve"> </w:t>
            </w:r>
            <w:r w:rsidR="00077D71">
              <w:rPr>
                <w:rFonts w:ascii="Times New Roman" w:eastAsia="Calibri" w:hAnsi="Times New Roman" w:cs="Times New Roman"/>
                <w:color w:val="000000" w:themeColor="text1"/>
                <w:sz w:val="20"/>
                <w:szCs w:val="20"/>
              </w:rPr>
              <w:t>Sept.</w:t>
            </w:r>
            <w:r>
              <w:rPr>
                <w:rFonts w:ascii="Times New Roman" w:eastAsia="Calibri" w:hAnsi="Times New Roman" w:cs="Times New Roman"/>
                <w:color w:val="000000" w:themeColor="text1"/>
                <w:sz w:val="20"/>
                <w:szCs w:val="20"/>
              </w:rPr>
              <w:t xml:space="preserve"> 2026</w:t>
            </w:r>
          </w:p>
        </w:tc>
        <w:tc>
          <w:tcPr>
            <w:tcW w:w="6721" w:type="dxa"/>
            <w:vMerge/>
            <w:tcBorders>
              <w:bottom w:val="single" w:sz="4" w:space="0" w:color="auto"/>
            </w:tcBorders>
          </w:tcPr>
          <w:p w14:paraId="522A591E" w14:textId="77777777" w:rsidR="00A1016E" w:rsidRPr="00BB3E29" w:rsidRDefault="00A1016E" w:rsidP="00DB1589">
            <w:pPr>
              <w:rPr>
                <w:rFonts w:ascii="Times New Roman" w:hAnsi="Times New Roman" w:cs="Times New Roman"/>
                <w:b/>
                <w:bCs/>
                <w:color w:val="000000" w:themeColor="text1"/>
                <w:sz w:val="20"/>
                <w:szCs w:val="20"/>
                <w:lang w:val="en-GB"/>
              </w:rPr>
            </w:pPr>
          </w:p>
        </w:tc>
      </w:tr>
      <w:bookmarkEnd w:id="6"/>
    </w:tbl>
    <w:p w14:paraId="0756A798" w14:textId="77777777" w:rsidR="003A1F33" w:rsidRPr="00BB3E29" w:rsidRDefault="003A1F33" w:rsidP="003A1F33">
      <w:pPr>
        <w:spacing w:after="0" w:line="240" w:lineRule="auto"/>
        <w:jc w:val="both"/>
        <w:rPr>
          <w:rFonts w:asciiTheme="majorBidi" w:hAnsiTheme="majorBidi" w:cstheme="majorBidi"/>
          <w:b/>
          <w:color w:val="000000" w:themeColor="text1"/>
          <w:sz w:val="20"/>
          <w:szCs w:val="20"/>
        </w:rPr>
      </w:pPr>
    </w:p>
    <w:p w14:paraId="08033B6E" w14:textId="77777777" w:rsidR="003D3C85" w:rsidRDefault="003D3C85" w:rsidP="003A1F33">
      <w:pPr>
        <w:spacing w:after="0" w:line="240" w:lineRule="auto"/>
        <w:jc w:val="both"/>
        <w:rPr>
          <w:rFonts w:asciiTheme="majorBidi" w:hAnsiTheme="majorBidi" w:cstheme="majorBidi"/>
          <w:b/>
          <w:color w:val="000000" w:themeColor="text1"/>
          <w:sz w:val="20"/>
          <w:szCs w:val="20"/>
        </w:rPr>
        <w:sectPr w:rsidR="003D3C85" w:rsidSect="00077D71">
          <w:headerReference w:type="default" r:id="rId14"/>
          <w:footerReference w:type="default" r:id="rId15"/>
          <w:type w:val="continuous"/>
          <w:pgSz w:w="12242" w:h="15842" w:code="1"/>
          <w:pgMar w:top="1440" w:right="1440" w:bottom="1440" w:left="1440" w:header="709" w:footer="709" w:gutter="0"/>
          <w:pgNumType w:start="156"/>
          <w:cols w:space="284"/>
          <w:docGrid w:linePitch="360"/>
        </w:sectPr>
      </w:pPr>
    </w:p>
    <w:p w14:paraId="114FA5C5" w14:textId="1D2AA4DC" w:rsidR="003A1F33" w:rsidRPr="00BB3E29" w:rsidRDefault="003A1F33" w:rsidP="003A1F33">
      <w:pPr>
        <w:spacing w:after="0" w:line="240" w:lineRule="auto"/>
        <w:jc w:val="both"/>
        <w:rPr>
          <w:rFonts w:asciiTheme="majorBidi" w:hAnsiTheme="majorBidi" w:cstheme="majorBidi"/>
          <w:b/>
          <w:color w:val="000000" w:themeColor="text1"/>
          <w:sz w:val="20"/>
          <w:szCs w:val="20"/>
        </w:rPr>
      </w:pPr>
      <w:r w:rsidRPr="00BB3E29">
        <w:rPr>
          <w:rFonts w:asciiTheme="majorBidi" w:hAnsiTheme="majorBidi" w:cstheme="majorBidi"/>
          <w:b/>
          <w:color w:val="000000" w:themeColor="text1"/>
          <w:sz w:val="20"/>
          <w:szCs w:val="20"/>
        </w:rPr>
        <w:t>INTRODUCTION</w:t>
      </w:r>
    </w:p>
    <w:p w14:paraId="083BDFBF" w14:textId="77777777" w:rsidR="00FA0857" w:rsidRPr="00FA0857" w:rsidRDefault="00FA0857" w:rsidP="003C05E7">
      <w:pPr>
        <w:spacing w:after="0" w:line="240" w:lineRule="auto"/>
        <w:jc w:val="both"/>
        <w:rPr>
          <w:rFonts w:ascii="Times New Roman" w:hAnsi="Times New Roman" w:cs="Times New Roman"/>
          <w:sz w:val="20"/>
          <w:szCs w:val="20"/>
          <w:lang w:val="zh-CN" w:eastAsia="zh-CN"/>
        </w:rPr>
      </w:pPr>
      <w:r w:rsidRPr="00FA0857">
        <w:rPr>
          <w:rFonts w:ascii="Times New Roman" w:hAnsi="Times New Roman" w:cs="Times New Roman" w:hint="eastAsia"/>
          <w:sz w:val="20"/>
          <w:szCs w:val="20"/>
          <w:lang w:val="zh-CN" w:eastAsia="zh-CN"/>
        </w:rPr>
        <w:t>Exposure of the general public to ionizing radiation from both natural and human-made sources cannot be completely avoided (ICRP, 2007</w:t>
      </w:r>
      <w:r w:rsidRPr="00FA0857">
        <w:rPr>
          <w:rFonts w:ascii="Times New Roman" w:hAnsi="Times New Roman" w:cs="Times New Roman"/>
          <w:sz w:val="20"/>
          <w:szCs w:val="20"/>
          <w:lang w:val="zh-CN" w:eastAsia="zh-CN"/>
        </w:rPr>
        <w:t xml:space="preserve">). Naturally occurring radiation sources are inherent components of the environment and cannot be eliminated; consequently, controlling excessive inhalation or accumulation through systematic radiological assessments is essential for public health protection. The assessment of radiological risks associated with naturally occurring radioactive materials (NORMs) at quarry and mining sites has become a global public health priority, particularly in developing countries where regulatory oversight of extractive industries is often limited (Abdu et al., 2024; Ofomola et al., 2023). A primary consideration in formulating key environmental decisions and policies depends on potential risk to human health and the environment (Bellamy et al., 2014). Quarrying operations disrupt geological strata, mechanically disaggregate rocks, and bring naturally occurring </w:t>
      </w:r>
      <w:r w:rsidRPr="00FA0857">
        <w:rPr>
          <w:rFonts w:ascii="Times New Roman" w:hAnsi="Times New Roman" w:cs="Times New Roman"/>
          <w:sz w:val="20"/>
          <w:szCs w:val="20"/>
          <w:lang w:val="zh-CN" w:eastAsia="zh-CN"/>
        </w:rPr>
        <w:t xml:space="preserve">radionuclides — principally </w:t>
      </w:r>
      <w:r w:rsidRPr="00FA0857">
        <w:rPr>
          <w:rFonts w:ascii="Times New Roman" w:hAnsi="Times New Roman" w:cs="Times New Roman"/>
          <w:sz w:val="20"/>
          <w:szCs w:val="20"/>
          <w:vertAlign w:val="superscript"/>
          <w:lang w:val="zh-CN" w:eastAsia="zh-CN"/>
        </w:rPr>
        <w:t>40</w:t>
      </w:r>
      <w:r w:rsidRPr="00FA0857">
        <w:rPr>
          <w:rFonts w:ascii="Times New Roman" w:hAnsi="Times New Roman" w:cs="Times New Roman"/>
          <w:sz w:val="20"/>
          <w:szCs w:val="20"/>
          <w:lang w:val="zh-CN" w:eastAsia="zh-CN"/>
        </w:rPr>
        <w:t xml:space="preserve">K, </w:t>
      </w:r>
      <w:r w:rsidRPr="00FA0857">
        <w:rPr>
          <w:rFonts w:ascii="Times New Roman" w:hAnsi="Times New Roman" w:cs="Times New Roman"/>
          <w:sz w:val="20"/>
          <w:szCs w:val="20"/>
          <w:vertAlign w:val="superscript"/>
          <w:lang w:val="zh-CN" w:eastAsia="zh-CN"/>
        </w:rPr>
        <w:t>226</w:t>
      </w:r>
      <w:r w:rsidRPr="00FA0857">
        <w:rPr>
          <w:rFonts w:ascii="Times New Roman" w:hAnsi="Times New Roman" w:cs="Times New Roman"/>
          <w:sz w:val="20"/>
          <w:szCs w:val="20"/>
          <w:lang w:val="zh-CN" w:eastAsia="zh-CN"/>
        </w:rPr>
        <w:t xml:space="preserve">Ra, and </w:t>
      </w:r>
      <w:r w:rsidRPr="00FA0857">
        <w:rPr>
          <w:rFonts w:ascii="Times New Roman" w:hAnsi="Times New Roman" w:cs="Times New Roman"/>
          <w:sz w:val="20"/>
          <w:szCs w:val="20"/>
          <w:vertAlign w:val="superscript"/>
          <w:lang w:val="zh-CN" w:eastAsia="zh-CN"/>
        </w:rPr>
        <w:t>232</w:t>
      </w:r>
      <w:r w:rsidRPr="00FA0857">
        <w:rPr>
          <w:rFonts w:ascii="Times New Roman" w:hAnsi="Times New Roman" w:cs="Times New Roman"/>
          <w:sz w:val="20"/>
          <w:szCs w:val="20"/>
          <w:lang w:val="zh-CN" w:eastAsia="zh-CN"/>
        </w:rPr>
        <w:t>Th — to the surface, enhancing their bioavailability and mobility in the environment (Jegede et al., 2025; Farai, 2007). Workers, nearby residents, and populations dependent on food crops and groundwater from such areas are potentially exposed through multiple radiological pathways, including external gamma irradiation, inhalation of radon and its decay products, ingestion of contaminated soil, and consumption of plant foods, meat, milk, and drinking water (Muhammad et al., 2024; UNSCEAR, 2000).</w:t>
      </w:r>
    </w:p>
    <w:p w14:paraId="7C03672B" w14:textId="77777777" w:rsidR="00FA0857" w:rsidRPr="00FA0857" w:rsidRDefault="00FA0857" w:rsidP="003C05E7">
      <w:pPr>
        <w:spacing w:after="0" w:line="240" w:lineRule="auto"/>
        <w:jc w:val="both"/>
        <w:rPr>
          <w:rFonts w:ascii="Times New Roman" w:hAnsi="Times New Roman" w:cs="Times New Roman"/>
          <w:sz w:val="20"/>
          <w:szCs w:val="20"/>
          <w:lang w:val="zh-CN" w:eastAsia="zh-CN"/>
        </w:rPr>
      </w:pPr>
      <w:r w:rsidRPr="00FA0857">
        <w:rPr>
          <w:rFonts w:ascii="Times New Roman" w:hAnsi="Times New Roman" w:cs="Times New Roman"/>
          <w:sz w:val="20"/>
          <w:szCs w:val="20"/>
          <w:lang w:val="zh-CN" w:eastAsia="zh-CN"/>
        </w:rPr>
        <w:t xml:space="preserve">In Nigeria, quarrying activities are widespread and often conducted without comprehensive radiological baseline assessments or formal risk-management frameworks (Bello et al., 2022; Girigisu et al., 2013). Several studies have documented elevated NORM concentrations at quarry sites across Nigeria (Jegede et al., 2025; Ofomola et al., 2023), with findings consistently showing that </w:t>
      </w:r>
      <w:r w:rsidRPr="00FA0857">
        <w:rPr>
          <w:rFonts w:ascii="Times New Roman" w:hAnsi="Times New Roman" w:cs="Times New Roman"/>
          <w:sz w:val="20"/>
          <w:szCs w:val="20"/>
          <w:vertAlign w:val="superscript"/>
          <w:lang w:val="zh-CN" w:eastAsia="zh-CN"/>
        </w:rPr>
        <w:t>40</w:t>
      </w:r>
      <w:r w:rsidRPr="00FA0857">
        <w:rPr>
          <w:rFonts w:ascii="Times New Roman" w:hAnsi="Times New Roman" w:cs="Times New Roman"/>
          <w:sz w:val="20"/>
          <w:szCs w:val="20"/>
          <w:lang w:val="zh-CN" w:eastAsia="zh-CN"/>
        </w:rPr>
        <w:t>K frequently exceeds the UNSCEAR (2000) world average of 400 Bq kg</w:t>
      </w:r>
      <w:r w:rsidRPr="00FA0857">
        <w:rPr>
          <w:rFonts w:ascii="Times New Roman" w:eastAsia="MS Gothic" w:hAnsi="Times New Roman" w:cs="Times New Roman"/>
          <w:sz w:val="20"/>
          <w:szCs w:val="20"/>
          <w:lang w:val="zh-CN" w:eastAsia="zh-CN"/>
        </w:rPr>
        <w:t>⁻</w:t>
      </w:r>
      <w:r w:rsidRPr="00FA0857">
        <w:rPr>
          <w:rFonts w:ascii="Times New Roman" w:hAnsi="Times New Roman" w:cs="Times New Roman"/>
          <w:sz w:val="20"/>
          <w:szCs w:val="20"/>
          <w:lang w:val="zh-CN" w:eastAsia="zh-CN"/>
        </w:rPr>
        <w:t xml:space="preserve">¹. Elevated </w:t>
      </w:r>
      <w:r w:rsidRPr="00FA0857">
        <w:rPr>
          <w:rFonts w:ascii="Times New Roman" w:hAnsi="Times New Roman" w:cs="Times New Roman"/>
          <w:sz w:val="20"/>
          <w:szCs w:val="20"/>
          <w:vertAlign w:val="superscript"/>
          <w:lang w:val="zh-CN" w:eastAsia="zh-CN"/>
        </w:rPr>
        <w:t>232</w:t>
      </w:r>
      <w:r w:rsidRPr="00FA0857">
        <w:rPr>
          <w:rFonts w:ascii="Times New Roman" w:hAnsi="Times New Roman" w:cs="Times New Roman"/>
          <w:sz w:val="20"/>
          <w:szCs w:val="20"/>
          <w:lang w:val="zh-CN" w:eastAsia="zh-CN"/>
        </w:rPr>
        <w:t xml:space="preserve">Th at Nigerian quarry sites </w:t>
      </w:r>
      <w:r w:rsidRPr="00FA0857">
        <w:rPr>
          <w:rFonts w:ascii="Times New Roman" w:hAnsi="Times New Roman" w:cs="Times New Roman"/>
          <w:sz w:val="20"/>
          <w:szCs w:val="20"/>
          <w:lang w:val="zh-CN" w:eastAsia="zh-CN"/>
        </w:rPr>
        <w:lastRenderedPageBreak/>
        <w:t>has been attributed to the lithological character of the Basement Complex rocks, which are enriched in thorium-bearing accessory minerals such as monazite and zircon (Ofomola et al., 2023; Farai, 2007). Air quality assessments around the Mpape quarry in Abuja have also documented elevated SO₂ and NO₂ levels associated with quarry blasting and crushing operations (Omeiza et al., 2022), highlighting the broader environmental impacts of quarrying in this area.</w:t>
      </w:r>
    </w:p>
    <w:p w14:paraId="2999D316" w14:textId="77777777" w:rsidR="00FA0857" w:rsidRPr="00FA0857" w:rsidRDefault="00FA0857" w:rsidP="003C05E7">
      <w:pPr>
        <w:spacing w:after="0" w:line="240" w:lineRule="auto"/>
        <w:jc w:val="both"/>
        <w:rPr>
          <w:rFonts w:ascii="Times New Roman" w:hAnsi="Times New Roman" w:cs="Times New Roman"/>
          <w:sz w:val="20"/>
          <w:szCs w:val="20"/>
          <w:lang w:val="zh-CN" w:eastAsia="zh-CN"/>
        </w:rPr>
      </w:pPr>
      <w:r w:rsidRPr="00FA0857">
        <w:rPr>
          <w:rFonts w:ascii="Times New Roman" w:hAnsi="Times New Roman" w:cs="Times New Roman"/>
          <w:sz w:val="20"/>
          <w:szCs w:val="20"/>
          <w:lang w:val="zh-CN" w:eastAsia="zh-CN"/>
        </w:rPr>
        <w:t>The Hongyum Quarry, located in Mpape, Federal Capital Territory (FCT), Nigeria, is one of the most active granite quarrying sites in the FCT, supplying construction materials for Abuja’s ongoing infrastructural development (Omeiza et al., 2022). The surrounding community is in proximity to quarrying operations, relies on local groundwater and food crops, and has not been subject to any known prior long-term radiological dose and cancer risk assessment, although background radiation and associated risk have previously been assessed at other public sites within the FCT (Ojo et al., 2024). The present study fills this gap by applying the RESRAD-Onsite 7.2 code to estimate radionuclide transport, long-term dose accumulation, and excess cancer risk at this site. RESRAD-Onsite 7.2, developed by Argonne National Laboratory under the United States Department of Energy (DOE), is a widely used deterministic environmental dose assessment tool applied in comparable NORM assessments (Abdu et al., 2024; Njinga &amp; Tshivhase, 2018; Yu et al., 2001b).</w:t>
      </w:r>
    </w:p>
    <w:p w14:paraId="0D43AD37" w14:textId="43AEB0B5" w:rsidR="00FA0857" w:rsidRDefault="00FA0857" w:rsidP="003C05E7">
      <w:pPr>
        <w:spacing w:after="0" w:line="240" w:lineRule="auto"/>
        <w:jc w:val="both"/>
        <w:rPr>
          <w:rFonts w:ascii="Times New Roman" w:hAnsi="Times New Roman" w:cs="Times New Roman"/>
          <w:sz w:val="20"/>
          <w:szCs w:val="20"/>
          <w:lang w:val="zh-CN" w:eastAsia="zh-CN"/>
        </w:rPr>
      </w:pPr>
      <w:r w:rsidRPr="00FA0857">
        <w:rPr>
          <w:rFonts w:ascii="Times New Roman" w:hAnsi="Times New Roman" w:cs="Times New Roman"/>
          <w:sz w:val="20"/>
          <w:szCs w:val="20"/>
          <w:lang w:val="zh-CN" w:eastAsia="zh-CN"/>
        </w:rPr>
        <w:t xml:space="preserve">This study analyses the activity concentration of </w:t>
      </w:r>
      <w:r w:rsidRPr="00FA0857">
        <w:rPr>
          <w:rFonts w:ascii="Times New Roman" w:hAnsi="Times New Roman" w:cs="Times New Roman"/>
          <w:sz w:val="20"/>
          <w:szCs w:val="20"/>
          <w:vertAlign w:val="superscript"/>
          <w:lang w:val="zh-CN" w:eastAsia="zh-CN"/>
        </w:rPr>
        <w:t>232</w:t>
      </w:r>
      <w:r w:rsidRPr="00FA0857">
        <w:rPr>
          <w:rFonts w:ascii="Times New Roman" w:hAnsi="Times New Roman" w:cs="Times New Roman"/>
          <w:sz w:val="20"/>
          <w:szCs w:val="20"/>
          <w:lang w:val="zh-CN" w:eastAsia="zh-CN"/>
        </w:rPr>
        <w:t xml:space="preserve">Th, </w:t>
      </w:r>
      <w:r w:rsidRPr="00FA0857">
        <w:rPr>
          <w:rFonts w:ascii="Times New Roman" w:hAnsi="Times New Roman" w:cs="Times New Roman"/>
          <w:sz w:val="20"/>
          <w:szCs w:val="20"/>
          <w:vertAlign w:val="superscript"/>
          <w:lang w:val="zh-CN" w:eastAsia="zh-CN"/>
        </w:rPr>
        <w:t>226</w:t>
      </w:r>
      <w:r w:rsidRPr="00FA0857">
        <w:rPr>
          <w:rFonts w:ascii="Times New Roman" w:hAnsi="Times New Roman" w:cs="Times New Roman"/>
          <w:sz w:val="20"/>
          <w:szCs w:val="20"/>
          <w:lang w:val="zh-CN" w:eastAsia="zh-CN"/>
        </w:rPr>
        <w:t xml:space="preserve">Ra, and </w:t>
      </w:r>
      <w:r w:rsidRPr="00FA0857">
        <w:rPr>
          <w:rFonts w:ascii="Times New Roman" w:hAnsi="Times New Roman" w:cs="Times New Roman"/>
          <w:sz w:val="20"/>
          <w:szCs w:val="20"/>
          <w:vertAlign w:val="superscript"/>
          <w:lang w:val="zh-CN" w:eastAsia="zh-CN"/>
        </w:rPr>
        <w:t>40</w:t>
      </w:r>
      <w:r w:rsidRPr="00FA0857">
        <w:rPr>
          <w:rFonts w:ascii="Times New Roman" w:hAnsi="Times New Roman" w:cs="Times New Roman"/>
          <w:sz w:val="20"/>
          <w:szCs w:val="20"/>
          <w:lang w:val="zh-CN" w:eastAsia="zh-CN"/>
        </w:rPr>
        <w:t xml:space="preserve">K over an area of 183,800 m² and shows how the </w:t>
      </w:r>
      <w:r w:rsidRPr="00FA0857">
        <w:rPr>
          <w:rFonts w:ascii="Times New Roman" w:hAnsi="Times New Roman" w:cs="Times New Roman"/>
          <w:i/>
          <w:iCs/>
          <w:sz w:val="20"/>
          <w:szCs w:val="20"/>
          <w:lang w:val="zh-CN" w:eastAsia="zh-CN"/>
        </w:rPr>
        <w:t>K</w:t>
      </w:r>
      <w:r w:rsidRPr="00FA0857">
        <w:rPr>
          <w:rFonts w:ascii="Times New Roman" w:hAnsi="Times New Roman" w:cs="Times New Roman"/>
          <w:sz w:val="20"/>
          <w:szCs w:val="20"/>
          <w:lang w:val="zh-CN" w:eastAsia="zh-CN"/>
        </w:rPr>
        <w:t xml:space="preserve">d values of </w:t>
      </w:r>
      <w:r w:rsidRPr="00FA0857">
        <w:rPr>
          <w:rFonts w:ascii="Times New Roman" w:hAnsi="Times New Roman" w:cs="Times New Roman"/>
          <w:sz w:val="20"/>
          <w:szCs w:val="20"/>
          <w:vertAlign w:val="superscript"/>
          <w:lang w:val="zh-CN" w:eastAsia="zh-CN"/>
        </w:rPr>
        <w:t>232</w:t>
      </w:r>
      <w:r w:rsidRPr="00FA0857">
        <w:rPr>
          <w:rFonts w:ascii="Times New Roman" w:hAnsi="Times New Roman" w:cs="Times New Roman"/>
          <w:sz w:val="20"/>
          <w:szCs w:val="20"/>
          <w:lang w:val="zh-CN" w:eastAsia="zh-CN"/>
        </w:rPr>
        <w:t xml:space="preserve">Th, </w:t>
      </w:r>
      <w:r w:rsidRPr="00FA0857">
        <w:rPr>
          <w:rFonts w:ascii="Times New Roman" w:hAnsi="Times New Roman" w:cs="Times New Roman"/>
          <w:sz w:val="20"/>
          <w:szCs w:val="20"/>
          <w:vertAlign w:val="superscript"/>
          <w:lang w:val="zh-CN" w:eastAsia="zh-CN"/>
        </w:rPr>
        <w:t>226</w:t>
      </w:r>
      <w:r w:rsidRPr="00FA0857">
        <w:rPr>
          <w:rFonts w:ascii="Times New Roman" w:hAnsi="Times New Roman" w:cs="Times New Roman"/>
          <w:sz w:val="20"/>
          <w:szCs w:val="20"/>
          <w:lang w:val="zh-CN" w:eastAsia="zh-CN"/>
        </w:rPr>
        <w:t xml:space="preserve">Ra, and </w:t>
      </w:r>
      <w:r w:rsidRPr="00FA0857">
        <w:rPr>
          <w:rFonts w:ascii="Times New Roman" w:hAnsi="Times New Roman" w:cs="Times New Roman"/>
          <w:sz w:val="20"/>
          <w:szCs w:val="20"/>
          <w:vertAlign w:val="superscript"/>
          <w:lang w:val="zh-CN" w:eastAsia="zh-CN"/>
        </w:rPr>
        <w:t>40</w:t>
      </w:r>
      <w:r w:rsidRPr="00FA0857">
        <w:rPr>
          <w:rFonts w:ascii="Times New Roman" w:hAnsi="Times New Roman" w:cs="Times New Roman"/>
          <w:sz w:val="20"/>
          <w:szCs w:val="20"/>
          <w:lang w:val="zh-CN" w:eastAsia="zh-CN"/>
        </w:rPr>
        <w:t xml:space="preserve">K for the loamy sand to sandy loam soil type contribute to the peak dose in the affected zone. Furthermore, the pathway contributions to the peak dose over the span of 1000 years were evaluated, and the excess lifetime cancer risk was calculated. Finally, the study evaluates how the site could be remediated using a clean cover layer of 1.25 m (depth) of soil so that </w:t>
      </w:r>
      <w:r w:rsidRPr="00FA0857">
        <w:rPr>
          <w:rFonts w:ascii="Times New Roman" w:hAnsi="Times New Roman" w:cs="Times New Roman"/>
          <w:sz w:val="20"/>
          <w:szCs w:val="20"/>
          <w:lang w:val="zh-CN" w:eastAsia="zh-CN"/>
        </w:rPr>
        <w:t xml:space="preserve">the area could be returned to farming and other basic activities with reduced radiological health risk to the surrounding population. The specific objectives of this study are to: determine the activity concentrations of </w:t>
      </w:r>
      <w:r w:rsidRPr="00FA0857">
        <w:rPr>
          <w:rFonts w:ascii="Times New Roman" w:hAnsi="Times New Roman" w:cs="Times New Roman"/>
          <w:sz w:val="20"/>
          <w:szCs w:val="20"/>
          <w:vertAlign w:val="superscript"/>
          <w:lang w:val="zh-CN" w:eastAsia="zh-CN"/>
        </w:rPr>
        <w:t>40</w:t>
      </w:r>
      <w:r w:rsidRPr="00FA0857">
        <w:rPr>
          <w:rFonts w:ascii="Times New Roman" w:hAnsi="Times New Roman" w:cs="Times New Roman"/>
          <w:sz w:val="20"/>
          <w:szCs w:val="20"/>
          <w:lang w:val="zh-CN" w:eastAsia="zh-CN"/>
        </w:rPr>
        <w:t xml:space="preserve">K, </w:t>
      </w:r>
      <w:r w:rsidRPr="00FA0857">
        <w:rPr>
          <w:rFonts w:ascii="Times New Roman" w:hAnsi="Times New Roman" w:cs="Times New Roman"/>
          <w:sz w:val="20"/>
          <w:szCs w:val="20"/>
          <w:vertAlign w:val="superscript"/>
          <w:lang w:val="zh-CN" w:eastAsia="zh-CN"/>
        </w:rPr>
        <w:t>226</w:t>
      </w:r>
      <w:r w:rsidRPr="00FA0857">
        <w:rPr>
          <w:rFonts w:ascii="Times New Roman" w:hAnsi="Times New Roman" w:cs="Times New Roman"/>
          <w:sz w:val="20"/>
          <w:szCs w:val="20"/>
          <w:lang w:val="zh-CN" w:eastAsia="zh-CN"/>
        </w:rPr>
        <w:t xml:space="preserve">Ra, and </w:t>
      </w:r>
      <w:r w:rsidRPr="00FA0857">
        <w:rPr>
          <w:rFonts w:ascii="Times New Roman" w:hAnsi="Times New Roman" w:cs="Times New Roman"/>
          <w:sz w:val="20"/>
          <w:szCs w:val="20"/>
          <w:vertAlign w:val="superscript"/>
          <w:lang w:val="zh-CN" w:eastAsia="zh-CN"/>
        </w:rPr>
        <w:t>232</w:t>
      </w:r>
      <w:r w:rsidRPr="00FA0857">
        <w:rPr>
          <w:rFonts w:ascii="Times New Roman" w:hAnsi="Times New Roman" w:cs="Times New Roman"/>
          <w:sz w:val="20"/>
          <w:szCs w:val="20"/>
          <w:lang w:val="zh-CN" w:eastAsia="zh-CN"/>
        </w:rPr>
        <w:t>Th in soils from the Hongyum/Pongyum Quarry site and a reference control site; evaluate individual and summed pathway contributions to total radiological dose over a 1000-year simulation horizon; quantify the excess lifetime cancer risk attributable to each radionuclide and pathway; and model the effectiveness of a 1.25 m clean soil cover as a remediation strategy.</w:t>
      </w:r>
    </w:p>
    <w:p w14:paraId="1FBDECAB" w14:textId="77777777" w:rsidR="003C05E7" w:rsidRPr="00FA0857" w:rsidRDefault="003C05E7" w:rsidP="003C05E7">
      <w:pPr>
        <w:spacing w:after="0" w:line="240" w:lineRule="auto"/>
        <w:jc w:val="both"/>
        <w:rPr>
          <w:rFonts w:ascii="Times New Roman" w:hAnsi="Times New Roman" w:cs="Times New Roman"/>
          <w:sz w:val="20"/>
          <w:szCs w:val="20"/>
          <w:lang w:val="zh-CN" w:eastAsia="zh-CN"/>
        </w:rPr>
      </w:pPr>
    </w:p>
    <w:p w14:paraId="7858CFA0" w14:textId="611522BC" w:rsidR="00FA0857" w:rsidRPr="00FA0857" w:rsidRDefault="003C05E7" w:rsidP="003C05E7">
      <w:pPr>
        <w:spacing w:after="0" w:line="240" w:lineRule="auto"/>
        <w:jc w:val="both"/>
        <w:rPr>
          <w:rFonts w:ascii="Times New Roman" w:hAnsi="Times New Roman" w:cs="Times New Roman"/>
          <w:sz w:val="20"/>
          <w:szCs w:val="20"/>
          <w:lang w:val="zh-CN" w:eastAsia="zh-CN"/>
        </w:rPr>
      </w:pPr>
      <w:r w:rsidRPr="00FA0857">
        <w:rPr>
          <w:rFonts w:ascii="Times New Roman" w:hAnsi="Times New Roman" w:cs="Times New Roman"/>
          <w:b/>
          <w:bCs/>
          <w:sz w:val="20"/>
          <w:szCs w:val="20"/>
          <w:lang w:val="zh-CN" w:eastAsia="zh-CN"/>
        </w:rPr>
        <w:t>MATERIALS AND METHODS</w:t>
      </w:r>
    </w:p>
    <w:p w14:paraId="02221342" w14:textId="77777777" w:rsidR="00FA0857" w:rsidRPr="00FA0857" w:rsidRDefault="00FA0857" w:rsidP="003C05E7">
      <w:pPr>
        <w:spacing w:after="0" w:line="240" w:lineRule="auto"/>
        <w:jc w:val="both"/>
        <w:rPr>
          <w:rFonts w:ascii="Times New Roman" w:hAnsi="Times New Roman" w:cs="Times New Roman"/>
          <w:sz w:val="20"/>
          <w:szCs w:val="20"/>
          <w:lang w:val="zh-CN" w:eastAsia="zh-CN"/>
        </w:rPr>
      </w:pPr>
      <w:r w:rsidRPr="00FA0857">
        <w:rPr>
          <w:rFonts w:ascii="Times New Roman" w:hAnsi="Times New Roman" w:cs="Times New Roman"/>
          <w:b/>
          <w:bCs/>
          <w:sz w:val="20"/>
          <w:szCs w:val="20"/>
          <w:lang w:val="zh-CN" w:eastAsia="zh-CN"/>
        </w:rPr>
        <w:t>Study Area</w:t>
      </w:r>
    </w:p>
    <w:p w14:paraId="03953B6D" w14:textId="04BCDC04" w:rsidR="00CF6C9A" w:rsidRPr="003C05E7" w:rsidRDefault="00FA0857" w:rsidP="003C05E7">
      <w:pPr>
        <w:spacing w:after="0" w:line="240" w:lineRule="auto"/>
        <w:jc w:val="both"/>
        <w:rPr>
          <w:rFonts w:ascii="Times New Roman" w:hAnsi="Times New Roman" w:cs="Times New Roman"/>
          <w:color w:val="000000" w:themeColor="text1"/>
          <w:sz w:val="20"/>
          <w:szCs w:val="20"/>
          <w:lang w:val="en-IN"/>
        </w:rPr>
      </w:pPr>
      <w:r w:rsidRPr="003C05E7">
        <w:rPr>
          <w:rFonts w:ascii="Times New Roman" w:hAnsi="Times New Roman" w:cs="Times New Roman"/>
          <w:sz w:val="20"/>
          <w:szCs w:val="20"/>
          <w:lang w:val="zh-CN" w:eastAsia="zh-CN"/>
        </w:rPr>
        <w:t>Hongyum/Pongyum Quarry</w:t>
      </w:r>
      <w:r w:rsidRPr="003C05E7">
        <w:rPr>
          <w:rFonts w:ascii="Times New Roman" w:hAnsi="Times New Roman" w:cs="Times New Roman"/>
          <w:sz w:val="20"/>
          <w:szCs w:val="20"/>
          <w:lang w:eastAsia="zh-CN"/>
        </w:rPr>
        <w:t xml:space="preserve"> site</w:t>
      </w:r>
      <w:r w:rsidRPr="003C05E7">
        <w:rPr>
          <w:rFonts w:ascii="Times New Roman" w:hAnsi="Times New Roman" w:cs="Times New Roman"/>
          <w:sz w:val="20"/>
          <w:szCs w:val="20"/>
          <w:lang w:val="zh-CN" w:eastAsia="zh-CN"/>
        </w:rPr>
        <w:t xml:space="preserve"> is located in Mpape, Bwari Area Council, Federal Capital Territory (FCT), Abuja, Nigeria (Latitude 9.1350° N; Longitude 7.4989° E). Mpape is a rapidly growing peri-urban community with an estimated population of over 100,000. The site lies within the Nigerian Basement Complex, characterised by Precambrian crystalline rocks including granite gneisses, migmatites, and schists (Omeiza et al., 2022). These geological formations are known to be enriched in naturally occurring radionuclides, particularly </w:t>
      </w:r>
      <w:r w:rsidRPr="003C05E7">
        <w:rPr>
          <w:rFonts w:ascii="Times New Roman" w:hAnsi="Times New Roman" w:cs="Times New Roman"/>
          <w:sz w:val="20"/>
          <w:szCs w:val="20"/>
          <w:vertAlign w:val="superscript"/>
          <w:lang w:val="zh-CN" w:eastAsia="zh-CN"/>
        </w:rPr>
        <w:t>232</w:t>
      </w:r>
      <w:r w:rsidRPr="003C05E7">
        <w:rPr>
          <w:rFonts w:ascii="Times New Roman" w:hAnsi="Times New Roman" w:cs="Times New Roman"/>
          <w:sz w:val="20"/>
          <w:szCs w:val="20"/>
          <w:lang w:val="zh-CN" w:eastAsia="zh-CN"/>
        </w:rPr>
        <w:t xml:space="preserve">Th and </w:t>
      </w:r>
      <w:r w:rsidRPr="003C05E7">
        <w:rPr>
          <w:rFonts w:ascii="Times New Roman" w:hAnsi="Times New Roman" w:cs="Times New Roman"/>
          <w:sz w:val="20"/>
          <w:szCs w:val="20"/>
          <w:vertAlign w:val="superscript"/>
          <w:lang w:val="zh-CN" w:eastAsia="zh-CN"/>
        </w:rPr>
        <w:t>40</w:t>
      </w:r>
      <w:r w:rsidRPr="003C05E7">
        <w:rPr>
          <w:rFonts w:ascii="Times New Roman" w:hAnsi="Times New Roman" w:cs="Times New Roman"/>
          <w:sz w:val="20"/>
          <w:szCs w:val="20"/>
          <w:lang w:val="zh-CN" w:eastAsia="zh-CN"/>
        </w:rPr>
        <w:t>K associated with potassium feldspar and thorium-bearing accessory minerals (Farai, 2007; Ofomola et al., 2023). The soils of the study area are classified as loamy sand to sandy loam, with a mineral composition dominated by potassium feldspar, quartz, and biotite mica. Surrounding communities depend on hand-dug wells and boreholes for domestic water supply, and food crops including maize, leafy vegetables, and yam are cultivated on adjacent lands, making multi-pathway radiological dose assessment critically important. A map of the study area showing the quarry site and sampling locations is presented in Figure 1</w:t>
      </w:r>
      <w:r w:rsidR="00CF6C9A" w:rsidRPr="003C05E7">
        <w:rPr>
          <w:rFonts w:ascii="Times New Roman" w:hAnsi="Times New Roman" w:cs="Times New Roman"/>
          <w:color w:val="000000" w:themeColor="text1"/>
          <w:sz w:val="20"/>
          <w:szCs w:val="20"/>
          <w:lang w:val="en-IN"/>
        </w:rPr>
        <w:t>.</w:t>
      </w:r>
    </w:p>
    <w:p w14:paraId="638D7E38" w14:textId="77777777" w:rsidR="002A637C" w:rsidRDefault="002A637C" w:rsidP="003C05E7">
      <w:pPr>
        <w:spacing w:after="0" w:line="240" w:lineRule="auto"/>
        <w:jc w:val="both"/>
        <w:rPr>
          <w:rFonts w:ascii="Times New Roman" w:hAnsi="Times New Roman" w:cs="Times New Roman"/>
          <w:sz w:val="20"/>
          <w:szCs w:val="20"/>
          <w:lang w:eastAsia="zh-CN"/>
        </w:rPr>
      </w:pPr>
    </w:p>
    <w:p w14:paraId="74FCDFC0" w14:textId="1D8A73E9" w:rsidR="00694574" w:rsidRPr="003C05E7" w:rsidRDefault="00694574" w:rsidP="003C05E7">
      <w:pPr>
        <w:spacing w:after="0" w:line="240" w:lineRule="auto"/>
        <w:jc w:val="both"/>
        <w:rPr>
          <w:rFonts w:ascii="Times New Roman" w:hAnsi="Times New Roman" w:cs="Times New Roman"/>
          <w:color w:val="000000" w:themeColor="text1"/>
          <w:sz w:val="20"/>
          <w:szCs w:val="20"/>
          <w:lang w:val="en-IN"/>
        </w:rPr>
        <w:sectPr w:rsidR="00694574" w:rsidRPr="003C05E7" w:rsidSect="002A637C">
          <w:type w:val="continuous"/>
          <w:pgSz w:w="12242" w:h="15842" w:code="1"/>
          <w:pgMar w:top="1440" w:right="1440" w:bottom="1440" w:left="1440" w:header="709" w:footer="709" w:gutter="0"/>
          <w:cols w:num="2" w:space="284"/>
          <w:docGrid w:linePitch="360"/>
        </w:sectPr>
      </w:pPr>
    </w:p>
    <w:p w14:paraId="49A3388D"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15BD5B88" w14:textId="6F41313E" w:rsidR="003C05E7" w:rsidRPr="003C05E7" w:rsidRDefault="003C05E7" w:rsidP="003C05E7">
      <w:pPr>
        <w:spacing w:after="0" w:line="240" w:lineRule="auto"/>
        <w:jc w:val="center"/>
        <w:rPr>
          <w:rFonts w:ascii="Times New Roman" w:eastAsia="Times New Roman" w:hAnsi="Times New Roman" w:cs="Times New Roman"/>
          <w:sz w:val="20"/>
          <w:szCs w:val="20"/>
        </w:rPr>
      </w:pPr>
      <w:r w:rsidRPr="003C05E7">
        <w:rPr>
          <w:rFonts w:ascii="Times New Roman" w:hAnsi="Times New Roman" w:cs="Times New Roman"/>
          <w:noProof/>
          <w:sz w:val="20"/>
          <w:szCs w:val="20"/>
        </w:rPr>
        <w:drawing>
          <wp:inline distT="0" distB="0" distL="0" distR="0" wp14:anchorId="5AB578D7" wp14:editId="179C7B3C">
            <wp:extent cx="2694305" cy="2057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r="3304"/>
                    <a:stretch>
                      <a:fillRect/>
                    </a:stretch>
                  </pic:blipFill>
                  <pic:spPr bwMode="auto">
                    <a:xfrm>
                      <a:off x="0" y="0"/>
                      <a:ext cx="2707120" cy="2067186"/>
                    </a:xfrm>
                    <a:prstGeom prst="rect">
                      <a:avLst/>
                    </a:prstGeom>
                    <a:noFill/>
                    <a:ln>
                      <a:noFill/>
                    </a:ln>
                  </pic:spPr>
                </pic:pic>
              </a:graphicData>
            </a:graphic>
          </wp:inline>
        </w:drawing>
      </w:r>
    </w:p>
    <w:p w14:paraId="1C6D2FDF" w14:textId="410BDC9C" w:rsidR="003C05E7" w:rsidRPr="003C05E7" w:rsidRDefault="003C05E7" w:rsidP="00694574">
      <w:pPr>
        <w:spacing w:after="0" w:line="240" w:lineRule="auto"/>
        <w:ind w:left="2700" w:right="2522"/>
        <w:jc w:val="both"/>
        <w:rPr>
          <w:rFonts w:ascii="Times New Roman" w:hAnsi="Times New Roman" w:cs="Times New Roman"/>
          <w:sz w:val="20"/>
          <w:szCs w:val="20"/>
        </w:rPr>
      </w:pPr>
      <w:r w:rsidRPr="003C05E7">
        <w:rPr>
          <w:rFonts w:ascii="Times New Roman" w:hAnsi="Times New Roman" w:cs="Times New Roman"/>
          <w:sz w:val="20"/>
          <w:szCs w:val="20"/>
        </w:rPr>
        <w:t>Figure 1</w:t>
      </w:r>
      <w:r w:rsidR="00694574">
        <w:rPr>
          <w:rFonts w:ascii="Times New Roman" w:hAnsi="Times New Roman" w:cs="Times New Roman"/>
          <w:sz w:val="20"/>
          <w:szCs w:val="20"/>
        </w:rPr>
        <w:t>:</w:t>
      </w:r>
      <w:r w:rsidRPr="003C05E7">
        <w:rPr>
          <w:rFonts w:ascii="Times New Roman" w:hAnsi="Times New Roman" w:cs="Times New Roman"/>
          <w:sz w:val="20"/>
          <w:szCs w:val="20"/>
        </w:rPr>
        <w:t xml:space="preserve"> Map of the </w:t>
      </w:r>
      <w:r w:rsidR="00694574" w:rsidRPr="003C05E7">
        <w:rPr>
          <w:rFonts w:ascii="Times New Roman" w:hAnsi="Times New Roman" w:cs="Times New Roman"/>
          <w:sz w:val="20"/>
          <w:szCs w:val="20"/>
        </w:rPr>
        <w:t xml:space="preserve">Quarry Site </w:t>
      </w:r>
      <w:r w:rsidRPr="003C05E7">
        <w:rPr>
          <w:rFonts w:ascii="Times New Roman" w:hAnsi="Times New Roman" w:cs="Times New Roman"/>
          <w:sz w:val="20"/>
          <w:szCs w:val="20"/>
        </w:rPr>
        <w:t xml:space="preserve">in the </w:t>
      </w:r>
      <w:r w:rsidR="00694574" w:rsidRPr="003C05E7">
        <w:rPr>
          <w:rFonts w:ascii="Times New Roman" w:hAnsi="Times New Roman" w:cs="Times New Roman"/>
          <w:sz w:val="20"/>
          <w:szCs w:val="20"/>
        </w:rPr>
        <w:t>Study Area</w:t>
      </w:r>
      <w:r w:rsidRPr="003C05E7">
        <w:rPr>
          <w:rFonts w:ascii="Times New Roman" w:hAnsi="Times New Roman" w:cs="Times New Roman"/>
          <w:sz w:val="20"/>
          <w:szCs w:val="20"/>
        </w:rPr>
        <w:t>. Source: NAGIS (2018)</w:t>
      </w:r>
    </w:p>
    <w:p w14:paraId="214D6CF5" w14:textId="77777777" w:rsidR="00694574" w:rsidRDefault="00694574" w:rsidP="003C05E7">
      <w:pPr>
        <w:spacing w:after="0" w:line="240" w:lineRule="auto"/>
        <w:rPr>
          <w:rFonts w:ascii="Times New Roman" w:hAnsi="Times New Roman" w:cs="Times New Roman"/>
          <w:b/>
          <w:bCs/>
          <w:i/>
          <w:iCs/>
          <w:sz w:val="20"/>
          <w:szCs w:val="20"/>
        </w:rPr>
      </w:pPr>
    </w:p>
    <w:p w14:paraId="64BCB729" w14:textId="7D78E09A" w:rsidR="00694574" w:rsidRDefault="00694574" w:rsidP="003C05E7">
      <w:pPr>
        <w:spacing w:after="0" w:line="240" w:lineRule="auto"/>
        <w:rPr>
          <w:rFonts w:ascii="Times New Roman" w:hAnsi="Times New Roman" w:cs="Times New Roman"/>
          <w:b/>
          <w:bCs/>
          <w:i/>
          <w:iCs/>
          <w:sz w:val="20"/>
          <w:szCs w:val="20"/>
        </w:rPr>
        <w:sectPr w:rsidR="00694574" w:rsidSect="002A637C">
          <w:type w:val="continuous"/>
          <w:pgSz w:w="12242" w:h="15842" w:code="1"/>
          <w:pgMar w:top="1440" w:right="1440" w:bottom="1440" w:left="1440" w:header="709" w:footer="709" w:gutter="0"/>
          <w:cols w:space="284"/>
          <w:docGrid w:linePitch="360"/>
        </w:sectPr>
      </w:pPr>
    </w:p>
    <w:p w14:paraId="23D25215" w14:textId="3C8F6905" w:rsidR="003C05E7" w:rsidRPr="003C05E7" w:rsidRDefault="003C05E7" w:rsidP="00694574">
      <w:pPr>
        <w:spacing w:after="0" w:line="240" w:lineRule="auto"/>
        <w:jc w:val="both"/>
        <w:rPr>
          <w:rFonts w:ascii="Times New Roman" w:hAnsi="Times New Roman" w:cs="Times New Roman"/>
          <w:sz w:val="20"/>
          <w:szCs w:val="20"/>
        </w:rPr>
      </w:pPr>
      <w:r w:rsidRPr="003C05E7">
        <w:rPr>
          <w:rFonts w:ascii="Times New Roman" w:hAnsi="Times New Roman" w:cs="Times New Roman"/>
          <w:b/>
          <w:bCs/>
          <w:i/>
          <w:iCs/>
          <w:sz w:val="20"/>
          <w:szCs w:val="20"/>
        </w:rPr>
        <w:lastRenderedPageBreak/>
        <w:t>Soil Sample Collection</w:t>
      </w:r>
    </w:p>
    <w:p w14:paraId="56A3C1D3" w14:textId="77777777" w:rsidR="003C05E7" w:rsidRPr="003C05E7" w:rsidRDefault="003C05E7" w:rsidP="00694574">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Six sampling points (QPT1–QPT6) were systematically established within the active quarrying zone, and one control site was selected at a location with no history of quarrying or industrial activity, following internationally accepted soil sampling protocols for radioactivity studies (IAEA, 1989; Muhammad et al., 2024). At each sampling point, a 0.5 m × 0.5 m area was demarcated and cleared of surface debris to a depth of 0.30 m. Approximately 2 kg of soil was collected with a stainless-steel auger at a depth of 0.15 m below the cleared surface to capture the natural soil horizon. All samples were labelled with GPS coordinates and transported to the laboratory in sealed polythene bags to prevent cross-contamination.</w:t>
      </w:r>
    </w:p>
    <w:p w14:paraId="634F9F74" w14:textId="115A4D07" w:rsidR="003C05E7" w:rsidRDefault="003C05E7" w:rsidP="00694574">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In the laboratory, soil samples were air-dried, crushed with a mortar and pestle, and sieved through a 0.2-mm mesh to obtain a homogeneous fine powder. Each powdered sample was oven-dried at 383 K for 24 hours to remove residual moisture, then packed into radon-impermeable cylindrical plastic containers of 76 × 76 mm dimension — matching the detector geometry — and triple-sealed to prevent </w:t>
      </w:r>
      <w:r w:rsidRPr="003C05E7">
        <w:rPr>
          <w:rFonts w:ascii="Times New Roman" w:hAnsi="Times New Roman" w:cs="Times New Roman"/>
          <w:sz w:val="20"/>
          <w:szCs w:val="20"/>
          <w:vertAlign w:val="superscript"/>
        </w:rPr>
        <w:t>222</w:t>
      </w:r>
      <w:r w:rsidRPr="003C05E7">
        <w:rPr>
          <w:rFonts w:ascii="Times New Roman" w:hAnsi="Times New Roman" w:cs="Times New Roman"/>
          <w:sz w:val="20"/>
          <w:szCs w:val="20"/>
        </w:rPr>
        <w:t>Rn escape: the inner rim of each container lid was smeared with Vaseline jelly, the lid-container gap was filled with candle wax, and the assembly was further secured with masking adhesive tape. Samples were stored for a minimum of 30 days before counting to achieve secular radioactive equilibrium between radon (</w:t>
      </w:r>
      <w:r w:rsidRPr="003C05E7">
        <w:rPr>
          <w:rFonts w:ascii="Times New Roman" w:hAnsi="Times New Roman" w:cs="Times New Roman"/>
          <w:sz w:val="20"/>
          <w:szCs w:val="20"/>
          <w:vertAlign w:val="superscript"/>
        </w:rPr>
        <w:t>222</w:t>
      </w:r>
      <w:r w:rsidRPr="003C05E7">
        <w:rPr>
          <w:rFonts w:ascii="Times New Roman" w:hAnsi="Times New Roman" w:cs="Times New Roman"/>
          <w:sz w:val="20"/>
          <w:szCs w:val="20"/>
        </w:rPr>
        <w:t>Rn), thoron (</w:t>
      </w:r>
      <w:r w:rsidRPr="003C05E7">
        <w:rPr>
          <w:rFonts w:ascii="Times New Roman" w:hAnsi="Times New Roman" w:cs="Times New Roman"/>
          <w:sz w:val="20"/>
          <w:szCs w:val="20"/>
          <w:vertAlign w:val="superscript"/>
        </w:rPr>
        <w:t>220</w:t>
      </w:r>
      <w:r w:rsidRPr="003C05E7">
        <w:rPr>
          <w:rFonts w:ascii="Times New Roman" w:hAnsi="Times New Roman" w:cs="Times New Roman"/>
          <w:sz w:val="20"/>
          <w:szCs w:val="20"/>
        </w:rPr>
        <w:t xml:space="preserve">Rn), and their respective short-lived progeny — a prerequisite for accurate determination of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via </w:t>
      </w:r>
      <w:r w:rsidRPr="003C05E7">
        <w:rPr>
          <w:rFonts w:ascii="Times New Roman" w:hAnsi="Times New Roman" w:cs="Times New Roman"/>
          <w:sz w:val="20"/>
          <w:szCs w:val="20"/>
          <w:vertAlign w:val="superscript"/>
        </w:rPr>
        <w:t>214</w:t>
      </w:r>
      <w:r w:rsidRPr="003C05E7">
        <w:rPr>
          <w:rFonts w:ascii="Times New Roman" w:hAnsi="Times New Roman" w:cs="Times New Roman"/>
          <w:sz w:val="20"/>
          <w:szCs w:val="20"/>
        </w:rPr>
        <w:t xml:space="preserve">Bi and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via </w:t>
      </w:r>
      <w:r w:rsidRPr="003C05E7">
        <w:rPr>
          <w:rFonts w:ascii="Times New Roman" w:hAnsi="Times New Roman" w:cs="Times New Roman"/>
          <w:sz w:val="20"/>
          <w:szCs w:val="20"/>
          <w:vertAlign w:val="superscript"/>
        </w:rPr>
        <w:t>208</w:t>
      </w:r>
      <w:r w:rsidRPr="003C05E7">
        <w:rPr>
          <w:rFonts w:ascii="Times New Roman" w:hAnsi="Times New Roman" w:cs="Times New Roman"/>
          <w:sz w:val="20"/>
          <w:szCs w:val="20"/>
        </w:rPr>
        <w:t>Tl (Abdu et al., 2024; Muhammad et al., 2024).</w:t>
      </w:r>
    </w:p>
    <w:p w14:paraId="5049C9F4" w14:textId="69307A58" w:rsidR="005F11BF" w:rsidRDefault="005F11BF" w:rsidP="00694574">
      <w:pPr>
        <w:spacing w:after="0" w:line="240" w:lineRule="auto"/>
        <w:jc w:val="both"/>
        <w:rPr>
          <w:rFonts w:ascii="Times New Roman" w:hAnsi="Times New Roman" w:cs="Times New Roman"/>
          <w:sz w:val="20"/>
          <w:szCs w:val="20"/>
        </w:rPr>
      </w:pPr>
    </w:p>
    <w:p w14:paraId="03D2821A" w14:textId="3DD5C3C9" w:rsidR="002E79FB" w:rsidRDefault="002E79FB" w:rsidP="00694574">
      <w:pPr>
        <w:spacing w:after="0" w:line="240" w:lineRule="auto"/>
        <w:jc w:val="both"/>
        <w:rPr>
          <w:rFonts w:ascii="Times New Roman" w:hAnsi="Times New Roman" w:cs="Times New Roman"/>
          <w:sz w:val="20"/>
          <w:szCs w:val="20"/>
        </w:rPr>
      </w:pPr>
    </w:p>
    <w:p w14:paraId="4CC4D388" w14:textId="35F3D642" w:rsidR="002E79FB" w:rsidRDefault="002E79FB" w:rsidP="00694574">
      <w:pPr>
        <w:spacing w:after="0" w:line="240" w:lineRule="auto"/>
        <w:jc w:val="both"/>
        <w:rPr>
          <w:rFonts w:ascii="Times New Roman" w:hAnsi="Times New Roman" w:cs="Times New Roman"/>
          <w:sz w:val="20"/>
          <w:szCs w:val="20"/>
        </w:rPr>
      </w:pPr>
    </w:p>
    <w:p w14:paraId="666F7140" w14:textId="77777777" w:rsidR="002E79FB" w:rsidRPr="003C05E7" w:rsidRDefault="002E79FB" w:rsidP="00694574">
      <w:pPr>
        <w:spacing w:after="0" w:line="240" w:lineRule="auto"/>
        <w:jc w:val="both"/>
        <w:rPr>
          <w:rFonts w:ascii="Times New Roman" w:hAnsi="Times New Roman" w:cs="Times New Roman"/>
          <w:sz w:val="20"/>
          <w:szCs w:val="20"/>
        </w:rPr>
      </w:pPr>
    </w:p>
    <w:p w14:paraId="00A52340" w14:textId="77777777" w:rsidR="003C05E7" w:rsidRPr="005F11BF" w:rsidRDefault="003C05E7" w:rsidP="00694574">
      <w:pPr>
        <w:spacing w:after="0" w:line="240" w:lineRule="auto"/>
        <w:jc w:val="both"/>
        <w:rPr>
          <w:rFonts w:ascii="Times New Roman" w:hAnsi="Times New Roman" w:cs="Times New Roman"/>
          <w:sz w:val="20"/>
          <w:szCs w:val="20"/>
        </w:rPr>
      </w:pPr>
      <w:proofErr w:type="spellStart"/>
      <w:proofErr w:type="gramStart"/>
      <w:r w:rsidRPr="005F11BF">
        <w:rPr>
          <w:rFonts w:ascii="Times New Roman" w:hAnsi="Times New Roman" w:cs="Times New Roman"/>
          <w:b/>
          <w:bCs/>
          <w:sz w:val="20"/>
          <w:szCs w:val="20"/>
        </w:rPr>
        <w:t>NaI</w:t>
      </w:r>
      <w:proofErr w:type="spellEnd"/>
      <w:r w:rsidRPr="005F11BF">
        <w:rPr>
          <w:rFonts w:ascii="Times New Roman" w:hAnsi="Times New Roman" w:cs="Times New Roman"/>
          <w:b/>
          <w:bCs/>
          <w:sz w:val="20"/>
          <w:szCs w:val="20"/>
        </w:rPr>
        <w:t>(</w:t>
      </w:r>
      <w:proofErr w:type="gramEnd"/>
      <w:r w:rsidRPr="005F11BF">
        <w:rPr>
          <w:rFonts w:ascii="Times New Roman" w:hAnsi="Times New Roman" w:cs="Times New Roman"/>
          <w:b/>
          <w:bCs/>
          <w:sz w:val="20"/>
          <w:szCs w:val="20"/>
        </w:rPr>
        <w:t>Tl) Spectrometry and Detector Calibration</w:t>
      </w:r>
    </w:p>
    <w:p w14:paraId="5A45F643" w14:textId="77777777" w:rsidR="003C05E7" w:rsidRPr="003C05E7" w:rsidRDefault="003C05E7" w:rsidP="00694574">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Radioactivity measurements were performed using a </w:t>
      </w:r>
      <w:proofErr w:type="spellStart"/>
      <w:proofErr w:type="gramStart"/>
      <w:r w:rsidRPr="003C05E7">
        <w:rPr>
          <w:rFonts w:ascii="Times New Roman" w:hAnsi="Times New Roman" w:cs="Times New Roman"/>
          <w:sz w:val="20"/>
          <w:szCs w:val="20"/>
        </w:rPr>
        <w:t>NaI</w:t>
      </w:r>
      <w:proofErr w:type="spellEnd"/>
      <w:r w:rsidRPr="003C05E7">
        <w:rPr>
          <w:rFonts w:ascii="Times New Roman" w:hAnsi="Times New Roman" w:cs="Times New Roman"/>
          <w:sz w:val="20"/>
          <w:szCs w:val="20"/>
        </w:rPr>
        <w:t>(</w:t>
      </w:r>
      <w:proofErr w:type="gramEnd"/>
      <w:r w:rsidRPr="003C05E7">
        <w:rPr>
          <w:rFonts w:ascii="Times New Roman" w:hAnsi="Times New Roman" w:cs="Times New Roman"/>
          <w:sz w:val="20"/>
          <w:szCs w:val="20"/>
        </w:rPr>
        <w:t xml:space="preserve">Tl) scintillation detector with a crystal dimension of 76 × 76 mm (3″ × 3″), optically coupled to a photomultiplier tube (PMT) with an incorporated preamplifier and a 1 kV external power supply (CANBERRA Model 727, Serial No. 11914167). The detector assembly was enclosed in a 6 cm lead shield lined with cadmium and copper sheets to </w:t>
      </w:r>
      <w:proofErr w:type="spellStart"/>
      <w:r w:rsidRPr="003C05E7">
        <w:rPr>
          <w:rFonts w:ascii="Times New Roman" w:hAnsi="Times New Roman" w:cs="Times New Roman"/>
          <w:sz w:val="20"/>
          <w:szCs w:val="20"/>
        </w:rPr>
        <w:t>minimise</w:t>
      </w:r>
      <w:proofErr w:type="spellEnd"/>
      <w:r w:rsidRPr="003C05E7">
        <w:rPr>
          <w:rFonts w:ascii="Times New Roman" w:hAnsi="Times New Roman" w:cs="Times New Roman"/>
          <w:sz w:val="20"/>
          <w:szCs w:val="20"/>
        </w:rPr>
        <w:t xml:space="preserve"> contributions from background and scattered radiation. Spectral data were acquired using MAESTRO data acquisition software (Canberra Nuclear Products) for a counting period of 28,800 s per sample. Background spectra were acquired for 28,800 s and subtracted from all sample spectra. Although </w:t>
      </w:r>
      <w:proofErr w:type="spellStart"/>
      <w:r w:rsidRPr="003C05E7">
        <w:rPr>
          <w:rFonts w:ascii="Times New Roman" w:hAnsi="Times New Roman" w:cs="Times New Roman"/>
          <w:sz w:val="20"/>
          <w:szCs w:val="20"/>
        </w:rPr>
        <w:t>HPGe</w:t>
      </w:r>
      <w:proofErr w:type="spellEnd"/>
      <w:r w:rsidRPr="003C05E7">
        <w:rPr>
          <w:rFonts w:ascii="Times New Roman" w:hAnsi="Times New Roman" w:cs="Times New Roman"/>
          <w:sz w:val="20"/>
          <w:szCs w:val="20"/>
        </w:rPr>
        <w:t xml:space="preserve"> detectors offer superior energy resolution, </w:t>
      </w:r>
      <w:proofErr w:type="spellStart"/>
      <w:proofErr w:type="gramStart"/>
      <w:r w:rsidRPr="003C05E7">
        <w:rPr>
          <w:rFonts w:ascii="Times New Roman" w:hAnsi="Times New Roman" w:cs="Times New Roman"/>
          <w:sz w:val="20"/>
          <w:szCs w:val="20"/>
        </w:rPr>
        <w:t>NaI</w:t>
      </w:r>
      <w:proofErr w:type="spellEnd"/>
      <w:r w:rsidRPr="003C05E7">
        <w:rPr>
          <w:rFonts w:ascii="Times New Roman" w:hAnsi="Times New Roman" w:cs="Times New Roman"/>
          <w:sz w:val="20"/>
          <w:szCs w:val="20"/>
        </w:rPr>
        <w:t>(</w:t>
      </w:r>
      <w:proofErr w:type="gramEnd"/>
      <w:r w:rsidRPr="003C05E7">
        <w:rPr>
          <w:rFonts w:ascii="Times New Roman" w:hAnsi="Times New Roman" w:cs="Times New Roman"/>
          <w:sz w:val="20"/>
          <w:szCs w:val="20"/>
        </w:rPr>
        <w:t xml:space="preserve">Tl) scintillation systems have been widely validated for NORM quantification in environmental soil matrices using the three-window method employed here, and have been used in comparable radiological assessments at Nigerian quarry and mining sites (Abdu et al., 2024; Muhammad et al., 2024; </w:t>
      </w:r>
      <w:proofErr w:type="spellStart"/>
      <w:r w:rsidRPr="003C05E7">
        <w:rPr>
          <w:rFonts w:ascii="Times New Roman" w:hAnsi="Times New Roman" w:cs="Times New Roman"/>
          <w:sz w:val="20"/>
          <w:szCs w:val="20"/>
        </w:rPr>
        <w:t>Ofomola</w:t>
      </w:r>
      <w:proofErr w:type="spellEnd"/>
      <w:r w:rsidRPr="003C05E7">
        <w:rPr>
          <w:rFonts w:ascii="Times New Roman" w:hAnsi="Times New Roman" w:cs="Times New Roman"/>
          <w:sz w:val="20"/>
          <w:szCs w:val="20"/>
        </w:rPr>
        <w:t xml:space="preserve"> et al., 2023). The use of IAEA standard reference materials (RGK-1, RGU-1, RGTh-1) further ensured the reliability of the measurements.</w:t>
      </w:r>
    </w:p>
    <w:p w14:paraId="49054208" w14:textId="77777777" w:rsidR="003C05E7" w:rsidRPr="003C05E7" w:rsidRDefault="003C05E7" w:rsidP="00694574">
      <w:pPr>
        <w:spacing w:after="0" w:line="240" w:lineRule="auto"/>
        <w:jc w:val="both"/>
        <w:rPr>
          <w:rFonts w:ascii="Times New Roman" w:eastAsiaTheme="minorEastAsia" w:hAnsi="Times New Roman" w:cs="Times New Roman"/>
          <w:sz w:val="20"/>
          <w:szCs w:val="20"/>
        </w:rPr>
      </w:pPr>
      <w:r w:rsidRPr="003C05E7">
        <w:rPr>
          <w:rFonts w:ascii="Times New Roman" w:hAnsi="Times New Roman" w:cs="Times New Roman"/>
          <w:sz w:val="20"/>
          <w:szCs w:val="20"/>
        </w:rPr>
        <w:t xml:space="preserve">Energy and efficiency calibrations were performed using two-point calibration sources — </w:t>
      </w:r>
      <w:r w:rsidRPr="003C05E7">
        <w:rPr>
          <w:rFonts w:ascii="Times New Roman" w:hAnsi="Times New Roman" w:cs="Times New Roman"/>
          <w:sz w:val="20"/>
          <w:szCs w:val="20"/>
          <w:vertAlign w:val="superscript"/>
        </w:rPr>
        <w:t>137</w:t>
      </w:r>
      <w:r w:rsidRPr="003C05E7">
        <w:rPr>
          <w:rFonts w:ascii="Times New Roman" w:hAnsi="Times New Roman" w:cs="Times New Roman"/>
          <w:sz w:val="20"/>
          <w:szCs w:val="20"/>
        </w:rPr>
        <w:t xml:space="preserve">Cs (661.6 keV) and </w:t>
      </w:r>
      <w:r w:rsidRPr="003C05E7">
        <w:rPr>
          <w:rFonts w:ascii="Times New Roman" w:hAnsi="Times New Roman" w:cs="Times New Roman"/>
          <w:sz w:val="20"/>
          <w:szCs w:val="20"/>
          <w:vertAlign w:val="superscript"/>
        </w:rPr>
        <w:t>60</w:t>
      </w:r>
      <w:r w:rsidRPr="003C05E7">
        <w:rPr>
          <w:rFonts w:ascii="Times New Roman" w:hAnsi="Times New Roman" w:cs="Times New Roman"/>
          <w:sz w:val="20"/>
          <w:szCs w:val="20"/>
        </w:rPr>
        <w:t xml:space="preserve">Co (1173 keV and 1332 keV) — with the amplifier gain adjusted to achieve 7.2% energy resolution (FWHM) at the 661.6 keV peak of </w:t>
      </w:r>
      <w:r w:rsidRPr="003C05E7">
        <w:rPr>
          <w:rFonts w:ascii="Times New Roman" w:hAnsi="Times New Roman" w:cs="Times New Roman"/>
          <w:sz w:val="20"/>
          <w:szCs w:val="20"/>
          <w:vertAlign w:val="superscript"/>
        </w:rPr>
        <w:t>137</w:t>
      </w:r>
      <w:r w:rsidRPr="003C05E7">
        <w:rPr>
          <w:rFonts w:ascii="Times New Roman" w:hAnsi="Times New Roman" w:cs="Times New Roman"/>
          <w:sz w:val="20"/>
          <w:szCs w:val="20"/>
        </w:rPr>
        <w:t>Cs, counted for 30 minutes. IAEA standard reference materials — RGK-1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K), RGU-1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via </w:t>
      </w:r>
      <w:r w:rsidRPr="003C05E7">
        <w:rPr>
          <w:rFonts w:ascii="Times New Roman" w:hAnsi="Times New Roman" w:cs="Times New Roman"/>
          <w:sz w:val="20"/>
          <w:szCs w:val="20"/>
          <w:vertAlign w:val="superscript"/>
        </w:rPr>
        <w:t>214</w:t>
      </w:r>
      <w:r w:rsidRPr="003C05E7">
        <w:rPr>
          <w:rFonts w:ascii="Times New Roman" w:hAnsi="Times New Roman" w:cs="Times New Roman"/>
          <w:sz w:val="20"/>
          <w:szCs w:val="20"/>
        </w:rPr>
        <w:t>Bi peak), and RGTh-1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via </w:t>
      </w:r>
      <w:r w:rsidRPr="003C05E7">
        <w:rPr>
          <w:rFonts w:ascii="Times New Roman" w:hAnsi="Times New Roman" w:cs="Times New Roman"/>
          <w:sz w:val="20"/>
          <w:szCs w:val="20"/>
          <w:vertAlign w:val="superscript"/>
        </w:rPr>
        <w:t>208</w:t>
      </w:r>
      <w:r w:rsidRPr="003C05E7">
        <w:rPr>
          <w:rFonts w:ascii="Times New Roman" w:hAnsi="Times New Roman" w:cs="Times New Roman"/>
          <w:sz w:val="20"/>
          <w:szCs w:val="20"/>
        </w:rPr>
        <w:t>Tl peak) — were prepared in identical cylindrical container geometry and used to verify calibration. The spectral energy windows and calibration factors used in the analysis are given in Table 1.</w:t>
      </w:r>
    </w:p>
    <w:p w14:paraId="3A9EE9B7" w14:textId="77777777" w:rsidR="00694574" w:rsidRDefault="00694574" w:rsidP="003C05E7">
      <w:pPr>
        <w:spacing w:after="0" w:line="240" w:lineRule="auto"/>
        <w:jc w:val="both"/>
        <w:rPr>
          <w:rFonts w:ascii="Times New Roman" w:eastAsiaTheme="minorEastAsia" w:hAnsi="Times New Roman" w:cs="Times New Roman"/>
          <w:sz w:val="20"/>
          <w:szCs w:val="20"/>
        </w:rPr>
        <w:sectPr w:rsidR="00694574" w:rsidSect="00694574">
          <w:type w:val="continuous"/>
          <w:pgSz w:w="12242" w:h="15842" w:code="1"/>
          <w:pgMar w:top="1440" w:right="1440" w:bottom="1440" w:left="1440" w:header="709" w:footer="709" w:gutter="0"/>
          <w:cols w:num="2" w:space="288"/>
          <w:docGrid w:linePitch="360"/>
        </w:sectPr>
      </w:pPr>
    </w:p>
    <w:p w14:paraId="69C2FC1A" w14:textId="36CB91A3"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784E716B" w14:textId="77777777" w:rsidR="003C05E7" w:rsidRPr="003C05E7" w:rsidRDefault="003C05E7" w:rsidP="003C05E7">
      <w:pPr>
        <w:spacing w:after="0" w:line="240" w:lineRule="auto"/>
        <w:rPr>
          <w:rFonts w:ascii="Times New Roman" w:eastAsia="Times New Roman" w:hAnsi="Times New Roman" w:cs="Times New Roman"/>
          <w:sz w:val="20"/>
          <w:szCs w:val="20"/>
        </w:rPr>
      </w:pPr>
      <w:r w:rsidRPr="003C05E7">
        <w:rPr>
          <w:rFonts w:ascii="Times New Roman" w:hAnsi="Times New Roman" w:cs="Times New Roman"/>
          <w:b/>
          <w:bCs/>
          <w:sz w:val="20"/>
          <w:szCs w:val="20"/>
        </w:rPr>
        <w:t xml:space="preserve">Table 1: Spectral Energy Windows and Calibration Factors Used in </w:t>
      </w:r>
      <w:proofErr w:type="spellStart"/>
      <w:proofErr w:type="gramStart"/>
      <w:r w:rsidRPr="003C05E7">
        <w:rPr>
          <w:rFonts w:ascii="Times New Roman" w:hAnsi="Times New Roman" w:cs="Times New Roman"/>
          <w:b/>
          <w:bCs/>
          <w:sz w:val="20"/>
          <w:szCs w:val="20"/>
        </w:rPr>
        <w:t>NaI</w:t>
      </w:r>
      <w:proofErr w:type="spellEnd"/>
      <w:r w:rsidRPr="003C05E7">
        <w:rPr>
          <w:rFonts w:ascii="Times New Roman" w:hAnsi="Times New Roman" w:cs="Times New Roman"/>
          <w:b/>
          <w:bCs/>
          <w:sz w:val="20"/>
          <w:szCs w:val="20"/>
        </w:rPr>
        <w:t>(</w:t>
      </w:r>
      <w:proofErr w:type="gramEnd"/>
      <w:r w:rsidRPr="003C05E7">
        <w:rPr>
          <w:rFonts w:ascii="Times New Roman" w:hAnsi="Times New Roman" w:cs="Times New Roman"/>
          <w:b/>
          <w:bCs/>
          <w:sz w:val="20"/>
          <w:szCs w:val="20"/>
        </w:rPr>
        <w:t>Tl) Analysis</w:t>
      </w:r>
    </w:p>
    <w:tbl>
      <w:tblPr>
        <w:tblStyle w:val="ListTable6Colorful"/>
        <w:tblW w:w="5000" w:type="pct"/>
        <w:tblLook w:val="0620" w:firstRow="1" w:lastRow="0" w:firstColumn="0" w:lastColumn="0" w:noHBand="1" w:noVBand="1"/>
      </w:tblPr>
      <w:tblGrid>
        <w:gridCol w:w="1350"/>
        <w:gridCol w:w="2161"/>
        <w:gridCol w:w="2071"/>
        <w:gridCol w:w="3780"/>
      </w:tblGrid>
      <w:tr w:rsidR="003C05E7" w:rsidRPr="003C05E7" w14:paraId="56A7E4EE" w14:textId="77777777" w:rsidTr="00E82B09">
        <w:trPr>
          <w:cnfStyle w:val="100000000000" w:firstRow="1" w:lastRow="0" w:firstColumn="0" w:lastColumn="0" w:oddVBand="0" w:evenVBand="0" w:oddHBand="0" w:evenHBand="0" w:firstRowFirstColumn="0" w:firstRowLastColumn="0" w:lastRowFirstColumn="0" w:lastRowLastColumn="0"/>
          <w:trHeight w:val="230"/>
        </w:trPr>
        <w:tc>
          <w:tcPr>
            <w:tcW w:w="721" w:type="pct"/>
            <w:tcBorders>
              <w:top w:val="single" w:sz="4" w:space="0" w:color="000000" w:themeColor="text1"/>
              <w:left w:val="nil"/>
              <w:right w:val="nil"/>
            </w:tcBorders>
            <w:hideMark/>
          </w:tcPr>
          <w:p w14:paraId="74621F5D"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Radionuclide</w:t>
            </w:r>
          </w:p>
        </w:tc>
        <w:tc>
          <w:tcPr>
            <w:tcW w:w="1154" w:type="pct"/>
            <w:tcBorders>
              <w:top w:val="single" w:sz="4" w:space="0" w:color="000000" w:themeColor="text1"/>
              <w:left w:val="nil"/>
              <w:right w:val="nil"/>
            </w:tcBorders>
            <w:hideMark/>
          </w:tcPr>
          <w:p w14:paraId="735A189C"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Gamma Energy (keV)</w:t>
            </w:r>
          </w:p>
        </w:tc>
        <w:tc>
          <w:tcPr>
            <w:tcW w:w="1106" w:type="pct"/>
            <w:tcBorders>
              <w:top w:val="single" w:sz="4" w:space="0" w:color="000000" w:themeColor="text1"/>
              <w:left w:val="nil"/>
              <w:right w:val="nil"/>
            </w:tcBorders>
            <w:hideMark/>
          </w:tcPr>
          <w:p w14:paraId="626F132E"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Energy Window (keV)</w:t>
            </w:r>
          </w:p>
        </w:tc>
        <w:tc>
          <w:tcPr>
            <w:tcW w:w="2020" w:type="pct"/>
            <w:tcBorders>
              <w:top w:val="single" w:sz="4" w:space="0" w:color="000000" w:themeColor="text1"/>
              <w:left w:val="nil"/>
              <w:right w:val="nil"/>
            </w:tcBorders>
            <w:hideMark/>
          </w:tcPr>
          <w:p w14:paraId="5A3FA4F3"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 xml:space="preserve">Calibration Factor </w:t>
            </w:r>
            <m:oMath>
              <m:sSub>
                <m:sSubPr>
                  <m:ctrlPr>
                    <w:rPr>
                      <w:rFonts w:ascii="Cambria Math" w:eastAsia="Times New Roman" w:hAnsi="Cambria Math" w:cs="Times New Roman"/>
                      <w:i/>
                      <w:iCs/>
                      <w:sz w:val="18"/>
                      <w:szCs w:val="18"/>
                      <w:lang w:val="zh-CN" w:eastAsia="zh-CN"/>
                    </w:rPr>
                  </m:ctrlPr>
                </m:sSubPr>
                <m:e>
                  <m:r>
                    <m:rPr>
                      <m:sty m:val="bi"/>
                    </m:rPr>
                    <w:rPr>
                      <w:rFonts w:ascii="Cambria Math" w:hAnsi="Cambria Math" w:cs="Times New Roman"/>
                      <w:sz w:val="18"/>
                      <w:szCs w:val="18"/>
                    </w:rPr>
                    <m:t>C</m:t>
                  </m:r>
                </m:e>
                <m:sub>
                  <m:r>
                    <m:rPr>
                      <m:sty m:val="bi"/>
                    </m:rPr>
                    <w:rPr>
                      <w:rFonts w:ascii="Cambria Math" w:hAnsi="Cambria Math" w:cs="Times New Roman"/>
                      <w:sz w:val="18"/>
                      <w:szCs w:val="18"/>
                    </w:rPr>
                    <m:t>fk</m:t>
                  </m:r>
                </m:sub>
              </m:sSub>
            </m:oMath>
            <w:r w:rsidRPr="00E82B09">
              <w:rPr>
                <w:rFonts w:ascii="Times New Roman" w:hAnsi="Times New Roman" w:cs="Times New Roman"/>
                <w:iCs/>
                <w:sz w:val="18"/>
                <w:szCs w:val="18"/>
              </w:rPr>
              <w:t xml:space="preserve"> </w:t>
            </w:r>
            <w:r w:rsidRPr="00E82B09">
              <w:rPr>
                <w:rFonts w:ascii="Times New Roman" w:hAnsi="Times New Roman" w:cs="Times New Roman"/>
                <w:bCs w:val="0"/>
                <w:color w:val="000000"/>
                <w:sz w:val="18"/>
                <w:szCs w:val="18"/>
              </w:rPr>
              <w:t>(×10</w:t>
            </w:r>
            <w:r w:rsidRPr="00E82B09">
              <w:rPr>
                <w:rFonts w:ascii="Times New Roman" w:eastAsia="MS Gothic" w:hAnsi="Times New Roman" w:cs="Times New Roman"/>
                <w:bCs w:val="0"/>
                <w:color w:val="000000"/>
                <w:sz w:val="18"/>
                <w:szCs w:val="18"/>
              </w:rPr>
              <w:t>⁻</w:t>
            </w:r>
            <w:r w:rsidRPr="00E82B09">
              <w:rPr>
                <w:rFonts w:ascii="Times New Roman" w:hAnsi="Times New Roman" w:cs="Times New Roman"/>
                <w:bCs w:val="0"/>
                <w:color w:val="000000"/>
                <w:sz w:val="18"/>
                <w:szCs w:val="18"/>
              </w:rPr>
              <w:t>³ cps(ppm)</w:t>
            </w:r>
            <w:r w:rsidRPr="00E82B09">
              <w:rPr>
                <w:rFonts w:ascii="Times New Roman" w:eastAsia="MS Gothic" w:hAnsi="Times New Roman" w:cs="Times New Roman"/>
                <w:bCs w:val="0"/>
                <w:color w:val="000000"/>
                <w:sz w:val="18"/>
                <w:szCs w:val="18"/>
              </w:rPr>
              <w:t>⁻</w:t>
            </w:r>
            <w:r w:rsidRPr="00E82B09">
              <w:rPr>
                <w:rFonts w:ascii="Times New Roman" w:hAnsi="Times New Roman" w:cs="Times New Roman"/>
                <w:bCs w:val="0"/>
                <w:color w:val="000000"/>
                <w:sz w:val="18"/>
                <w:szCs w:val="18"/>
              </w:rPr>
              <w:t>¹)</w:t>
            </w:r>
          </w:p>
        </w:tc>
      </w:tr>
      <w:tr w:rsidR="003C05E7" w:rsidRPr="003C05E7" w14:paraId="3B9A3A14" w14:textId="77777777" w:rsidTr="00E82B09">
        <w:trPr>
          <w:trHeight w:val="230"/>
        </w:trPr>
        <w:tc>
          <w:tcPr>
            <w:tcW w:w="721" w:type="pct"/>
            <w:tcBorders>
              <w:top w:val="nil"/>
              <w:left w:val="nil"/>
              <w:bottom w:val="nil"/>
              <w:right w:val="nil"/>
            </w:tcBorders>
            <w:hideMark/>
          </w:tcPr>
          <w:p w14:paraId="0206527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²²</w:t>
            </w:r>
            <w:r w:rsidRPr="003C05E7">
              <w:rPr>
                <w:rFonts w:ascii="Times New Roman" w:eastAsia="MS Gothic" w:hAnsi="Times New Roman" w:cs="Times New Roman"/>
                <w:color w:val="000000"/>
                <w:sz w:val="20"/>
                <w:szCs w:val="20"/>
              </w:rPr>
              <w:t>⁶</w:t>
            </w:r>
            <w:r w:rsidRPr="003C05E7">
              <w:rPr>
                <w:rFonts w:ascii="Times New Roman" w:hAnsi="Times New Roman" w:cs="Times New Roman"/>
                <w:color w:val="000000"/>
                <w:sz w:val="20"/>
                <w:szCs w:val="20"/>
              </w:rPr>
              <w:t>Ra</w:t>
            </w:r>
          </w:p>
        </w:tc>
        <w:tc>
          <w:tcPr>
            <w:tcW w:w="1154" w:type="pct"/>
            <w:tcBorders>
              <w:top w:val="nil"/>
              <w:left w:val="nil"/>
              <w:bottom w:val="nil"/>
              <w:right w:val="nil"/>
            </w:tcBorders>
            <w:hideMark/>
          </w:tcPr>
          <w:p w14:paraId="47961DB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1764.0</w:t>
            </w:r>
          </w:p>
        </w:tc>
        <w:tc>
          <w:tcPr>
            <w:tcW w:w="1106" w:type="pct"/>
            <w:tcBorders>
              <w:top w:val="nil"/>
              <w:left w:val="nil"/>
              <w:bottom w:val="nil"/>
              <w:right w:val="nil"/>
            </w:tcBorders>
            <w:hideMark/>
          </w:tcPr>
          <w:p w14:paraId="64FF76D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1620–1820</w:t>
            </w:r>
          </w:p>
        </w:tc>
        <w:tc>
          <w:tcPr>
            <w:tcW w:w="2020" w:type="pct"/>
            <w:tcBorders>
              <w:top w:val="nil"/>
              <w:left w:val="nil"/>
              <w:bottom w:val="nil"/>
              <w:right w:val="nil"/>
            </w:tcBorders>
            <w:hideMark/>
          </w:tcPr>
          <w:p w14:paraId="377FC44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10.500</w:t>
            </w:r>
          </w:p>
        </w:tc>
      </w:tr>
      <w:tr w:rsidR="003C05E7" w:rsidRPr="003C05E7" w14:paraId="469E4C9C" w14:textId="77777777" w:rsidTr="00E82B09">
        <w:trPr>
          <w:trHeight w:val="230"/>
        </w:trPr>
        <w:tc>
          <w:tcPr>
            <w:tcW w:w="721" w:type="pct"/>
            <w:tcBorders>
              <w:top w:val="nil"/>
              <w:left w:val="nil"/>
              <w:bottom w:val="nil"/>
              <w:right w:val="nil"/>
            </w:tcBorders>
            <w:hideMark/>
          </w:tcPr>
          <w:p w14:paraId="26B2DA0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²³²Th</w:t>
            </w:r>
          </w:p>
        </w:tc>
        <w:tc>
          <w:tcPr>
            <w:tcW w:w="1154" w:type="pct"/>
            <w:tcBorders>
              <w:top w:val="nil"/>
              <w:left w:val="nil"/>
              <w:bottom w:val="nil"/>
              <w:right w:val="nil"/>
            </w:tcBorders>
            <w:hideMark/>
          </w:tcPr>
          <w:p w14:paraId="3662D9F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2614.5</w:t>
            </w:r>
          </w:p>
        </w:tc>
        <w:tc>
          <w:tcPr>
            <w:tcW w:w="1106" w:type="pct"/>
            <w:tcBorders>
              <w:top w:val="nil"/>
              <w:left w:val="nil"/>
              <w:bottom w:val="nil"/>
              <w:right w:val="nil"/>
            </w:tcBorders>
            <w:hideMark/>
          </w:tcPr>
          <w:p w14:paraId="0950C50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2480–2820</w:t>
            </w:r>
          </w:p>
        </w:tc>
        <w:tc>
          <w:tcPr>
            <w:tcW w:w="2020" w:type="pct"/>
            <w:tcBorders>
              <w:top w:val="nil"/>
              <w:left w:val="nil"/>
              <w:bottom w:val="nil"/>
              <w:right w:val="nil"/>
            </w:tcBorders>
            <w:hideMark/>
          </w:tcPr>
          <w:p w14:paraId="7AA27CE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3.612</w:t>
            </w:r>
          </w:p>
        </w:tc>
      </w:tr>
      <w:tr w:rsidR="003C05E7" w:rsidRPr="003C05E7" w14:paraId="575AE3D5" w14:textId="77777777" w:rsidTr="00E82B09">
        <w:trPr>
          <w:trHeight w:val="230"/>
        </w:trPr>
        <w:tc>
          <w:tcPr>
            <w:tcW w:w="721" w:type="pct"/>
            <w:tcBorders>
              <w:top w:val="nil"/>
              <w:left w:val="nil"/>
              <w:bottom w:val="single" w:sz="4" w:space="0" w:color="000000" w:themeColor="text1"/>
              <w:right w:val="nil"/>
            </w:tcBorders>
            <w:hideMark/>
          </w:tcPr>
          <w:p w14:paraId="41EDDA6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⁴⁰K</w:t>
            </w:r>
          </w:p>
        </w:tc>
        <w:tc>
          <w:tcPr>
            <w:tcW w:w="1154" w:type="pct"/>
            <w:tcBorders>
              <w:top w:val="nil"/>
              <w:left w:val="nil"/>
              <w:bottom w:val="single" w:sz="4" w:space="0" w:color="000000" w:themeColor="text1"/>
              <w:right w:val="nil"/>
            </w:tcBorders>
            <w:hideMark/>
          </w:tcPr>
          <w:p w14:paraId="5CE0AA8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1460.0</w:t>
            </w:r>
          </w:p>
        </w:tc>
        <w:tc>
          <w:tcPr>
            <w:tcW w:w="1106" w:type="pct"/>
            <w:tcBorders>
              <w:top w:val="nil"/>
              <w:left w:val="nil"/>
              <w:bottom w:val="single" w:sz="4" w:space="0" w:color="000000" w:themeColor="text1"/>
              <w:right w:val="nil"/>
            </w:tcBorders>
            <w:hideMark/>
          </w:tcPr>
          <w:p w14:paraId="31FB330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1380–1550</w:t>
            </w:r>
          </w:p>
        </w:tc>
        <w:tc>
          <w:tcPr>
            <w:tcW w:w="2020" w:type="pct"/>
            <w:tcBorders>
              <w:top w:val="nil"/>
              <w:left w:val="nil"/>
              <w:bottom w:val="single" w:sz="4" w:space="0" w:color="000000" w:themeColor="text1"/>
              <w:right w:val="nil"/>
            </w:tcBorders>
            <w:hideMark/>
          </w:tcPr>
          <w:p w14:paraId="0CE20EB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0.026</w:t>
            </w:r>
          </w:p>
        </w:tc>
      </w:tr>
    </w:tbl>
    <w:p w14:paraId="54E3576A" w14:textId="7FFFAE0A" w:rsidR="003C05E7" w:rsidRPr="005F11BF" w:rsidRDefault="003C05E7" w:rsidP="005F11BF">
      <w:pPr>
        <w:spacing w:after="0" w:line="240" w:lineRule="auto"/>
        <w:jc w:val="both"/>
        <w:rPr>
          <w:rFonts w:ascii="Times New Roman" w:eastAsia="Times New Roman" w:hAnsi="Times New Roman" w:cs="Times New Roman"/>
          <w:i/>
          <w:iCs/>
          <w:sz w:val="20"/>
          <w:szCs w:val="20"/>
          <w:lang w:val="zh-CN" w:eastAsia="zh-CN"/>
        </w:rPr>
      </w:pPr>
      <w:r w:rsidRPr="005F11BF">
        <w:rPr>
          <w:rFonts w:ascii="Times New Roman" w:hAnsi="Times New Roman" w:cs="Times New Roman"/>
          <w:i/>
          <w:iCs/>
          <w:sz w:val="20"/>
          <w:szCs w:val="20"/>
        </w:rPr>
        <w:t>Note</w:t>
      </w:r>
      <w:r w:rsidR="005F11BF" w:rsidRPr="005F11BF">
        <w:rPr>
          <w:rFonts w:ascii="Times New Roman" w:hAnsi="Times New Roman" w:cs="Times New Roman"/>
          <w:i/>
          <w:iCs/>
          <w:sz w:val="20"/>
          <w:szCs w:val="20"/>
        </w:rPr>
        <w:t>:</w:t>
      </w:r>
      <w:r w:rsidRPr="005F11BF">
        <w:rPr>
          <w:rFonts w:ascii="Times New Roman" w:hAnsi="Times New Roman" w:cs="Times New Roman"/>
          <w:i/>
          <w:iCs/>
          <w:sz w:val="20"/>
          <w:szCs w:val="20"/>
        </w:rPr>
        <w:t xml:space="preserve"> Detection </w:t>
      </w:r>
      <w:r w:rsidR="005F11BF" w:rsidRPr="005F11BF">
        <w:rPr>
          <w:rFonts w:ascii="Times New Roman" w:hAnsi="Times New Roman" w:cs="Times New Roman"/>
          <w:i/>
          <w:iCs/>
          <w:sz w:val="20"/>
          <w:szCs w:val="20"/>
        </w:rPr>
        <w:t>Limits</w:t>
      </w:r>
      <w:r w:rsidRPr="005F11BF">
        <w:rPr>
          <w:rFonts w:ascii="Times New Roman" w:hAnsi="Times New Roman" w:cs="Times New Roman"/>
          <w:i/>
          <w:iCs/>
          <w:sz w:val="20"/>
          <w:szCs w:val="20"/>
        </w:rPr>
        <w:t xml:space="preserve">: 40K = 14.54 </w:t>
      </w:r>
      <w:proofErr w:type="spellStart"/>
      <w:r w:rsidRPr="005F11BF">
        <w:rPr>
          <w:rFonts w:ascii="Times New Roman" w:hAnsi="Times New Roman" w:cs="Times New Roman"/>
          <w:i/>
          <w:iCs/>
          <w:sz w:val="20"/>
          <w:szCs w:val="20"/>
        </w:rPr>
        <w:t>Bq</w:t>
      </w:r>
      <w:proofErr w:type="spellEnd"/>
      <w:r w:rsidRPr="005F11BF">
        <w:rPr>
          <w:rFonts w:ascii="Times New Roman" w:hAnsi="Times New Roman" w:cs="Times New Roman"/>
          <w:i/>
          <w:iCs/>
          <w:sz w:val="20"/>
          <w:szCs w:val="20"/>
        </w:rPr>
        <w:t xml:space="preserve"> kg</w:t>
      </w:r>
      <w:r w:rsidRPr="005F11BF">
        <w:rPr>
          <w:rFonts w:ascii="Times New Roman" w:eastAsia="MS Gothic" w:hAnsi="Times New Roman" w:cs="Times New Roman"/>
          <w:i/>
          <w:iCs/>
          <w:sz w:val="20"/>
          <w:szCs w:val="20"/>
        </w:rPr>
        <w:t>⁻</w:t>
      </w:r>
      <w:r w:rsidRPr="005F11BF">
        <w:rPr>
          <w:rFonts w:ascii="Times New Roman" w:hAnsi="Times New Roman" w:cs="Times New Roman"/>
          <w:i/>
          <w:iCs/>
          <w:sz w:val="20"/>
          <w:szCs w:val="20"/>
        </w:rPr>
        <w:t xml:space="preserve">¹; 226Ra = 3.84 </w:t>
      </w:r>
      <w:proofErr w:type="spellStart"/>
      <w:r w:rsidRPr="005F11BF">
        <w:rPr>
          <w:rFonts w:ascii="Times New Roman" w:hAnsi="Times New Roman" w:cs="Times New Roman"/>
          <w:i/>
          <w:iCs/>
          <w:sz w:val="20"/>
          <w:szCs w:val="20"/>
        </w:rPr>
        <w:t>Bq</w:t>
      </w:r>
      <w:proofErr w:type="spellEnd"/>
      <w:r w:rsidRPr="005F11BF">
        <w:rPr>
          <w:rFonts w:ascii="Times New Roman" w:hAnsi="Times New Roman" w:cs="Times New Roman"/>
          <w:i/>
          <w:iCs/>
          <w:sz w:val="20"/>
          <w:szCs w:val="20"/>
        </w:rPr>
        <w:t xml:space="preserve"> kg</w:t>
      </w:r>
      <w:r w:rsidRPr="005F11BF">
        <w:rPr>
          <w:rFonts w:ascii="Times New Roman" w:eastAsia="MS Gothic" w:hAnsi="Times New Roman" w:cs="Times New Roman"/>
          <w:i/>
          <w:iCs/>
          <w:sz w:val="20"/>
          <w:szCs w:val="20"/>
        </w:rPr>
        <w:t>⁻</w:t>
      </w:r>
      <w:r w:rsidRPr="005F11BF">
        <w:rPr>
          <w:rFonts w:ascii="Times New Roman" w:hAnsi="Times New Roman" w:cs="Times New Roman"/>
          <w:i/>
          <w:iCs/>
          <w:sz w:val="20"/>
          <w:szCs w:val="20"/>
        </w:rPr>
        <w:t xml:space="preserve">¹; 232Th = 9.08 </w:t>
      </w:r>
      <w:proofErr w:type="spellStart"/>
      <w:r w:rsidRPr="005F11BF">
        <w:rPr>
          <w:rFonts w:ascii="Times New Roman" w:hAnsi="Times New Roman" w:cs="Times New Roman"/>
          <w:i/>
          <w:iCs/>
          <w:sz w:val="20"/>
          <w:szCs w:val="20"/>
        </w:rPr>
        <w:t>Bq</w:t>
      </w:r>
      <w:proofErr w:type="spellEnd"/>
      <w:r w:rsidRPr="005F11BF">
        <w:rPr>
          <w:rFonts w:ascii="Times New Roman" w:hAnsi="Times New Roman" w:cs="Times New Roman"/>
          <w:i/>
          <w:iCs/>
          <w:sz w:val="20"/>
          <w:szCs w:val="20"/>
        </w:rPr>
        <w:t xml:space="preserve"> kg</w:t>
      </w:r>
      <w:r w:rsidRPr="005F11BF">
        <w:rPr>
          <w:rFonts w:ascii="Times New Roman" w:eastAsia="MS Gothic" w:hAnsi="Times New Roman" w:cs="Times New Roman"/>
          <w:i/>
          <w:iCs/>
          <w:sz w:val="20"/>
          <w:szCs w:val="20"/>
        </w:rPr>
        <w:t>⁻</w:t>
      </w:r>
      <w:r w:rsidRPr="005F11BF">
        <w:rPr>
          <w:rFonts w:ascii="Times New Roman" w:hAnsi="Times New Roman" w:cs="Times New Roman"/>
          <w:i/>
          <w:iCs/>
          <w:sz w:val="20"/>
          <w:szCs w:val="20"/>
        </w:rPr>
        <w:t xml:space="preserve">¹. Calibration </w:t>
      </w:r>
      <w:r w:rsidR="005F11BF" w:rsidRPr="005F11BF">
        <w:rPr>
          <w:rFonts w:ascii="Times New Roman" w:hAnsi="Times New Roman" w:cs="Times New Roman"/>
          <w:i/>
          <w:iCs/>
          <w:sz w:val="20"/>
          <w:szCs w:val="20"/>
        </w:rPr>
        <w:t xml:space="preserve">Factors </w:t>
      </w:r>
      <w:r w:rsidRPr="005F11BF">
        <w:rPr>
          <w:rFonts w:ascii="Times New Roman" w:hAnsi="Times New Roman" w:cs="Times New Roman"/>
          <w:i/>
          <w:iCs/>
          <w:sz w:val="20"/>
          <w:szCs w:val="20"/>
        </w:rPr>
        <w:t xml:space="preserve">from the CANBERRA Model 727 </w:t>
      </w:r>
      <w:r w:rsidR="005F11BF" w:rsidRPr="005F11BF">
        <w:rPr>
          <w:rFonts w:ascii="Times New Roman" w:hAnsi="Times New Roman" w:cs="Times New Roman"/>
          <w:i/>
          <w:iCs/>
          <w:sz w:val="20"/>
          <w:szCs w:val="20"/>
        </w:rPr>
        <w:t>System Calibration</w:t>
      </w:r>
    </w:p>
    <w:p w14:paraId="5BB2C432" w14:textId="77777777" w:rsidR="005F11BF" w:rsidRDefault="005F11BF" w:rsidP="003C05E7">
      <w:pPr>
        <w:spacing w:after="0" w:line="240" w:lineRule="auto"/>
        <w:rPr>
          <w:rFonts w:ascii="Times New Roman" w:eastAsiaTheme="minorEastAsia" w:hAnsi="Times New Roman" w:cs="Times New Roman"/>
          <w:b/>
          <w:bCs/>
          <w:i/>
          <w:iCs/>
          <w:sz w:val="20"/>
          <w:szCs w:val="20"/>
        </w:rPr>
      </w:pPr>
    </w:p>
    <w:p w14:paraId="5C6DEE06" w14:textId="25E4F5B4" w:rsidR="005F11BF" w:rsidRDefault="005F11BF" w:rsidP="003C05E7">
      <w:pPr>
        <w:spacing w:after="0" w:line="240" w:lineRule="auto"/>
        <w:rPr>
          <w:rFonts w:ascii="Times New Roman" w:eastAsiaTheme="minorEastAsia" w:hAnsi="Times New Roman" w:cs="Times New Roman"/>
          <w:b/>
          <w:bCs/>
          <w:i/>
          <w:iCs/>
          <w:sz w:val="20"/>
          <w:szCs w:val="20"/>
        </w:rPr>
        <w:sectPr w:rsidR="005F11BF" w:rsidSect="002A637C">
          <w:type w:val="continuous"/>
          <w:pgSz w:w="12242" w:h="15842" w:code="1"/>
          <w:pgMar w:top="1440" w:right="1440" w:bottom="1440" w:left="1440" w:header="709" w:footer="709" w:gutter="0"/>
          <w:cols w:space="284"/>
          <w:docGrid w:linePitch="360"/>
        </w:sectPr>
      </w:pPr>
    </w:p>
    <w:p w14:paraId="23545328" w14:textId="77777777" w:rsidR="003C05E7" w:rsidRPr="005F11BF" w:rsidRDefault="003C05E7" w:rsidP="003C05E7">
      <w:pPr>
        <w:spacing w:after="0" w:line="240" w:lineRule="auto"/>
        <w:rPr>
          <w:rFonts w:ascii="Times New Roman" w:eastAsia="Times New Roman" w:hAnsi="Times New Roman" w:cs="Times New Roman"/>
          <w:sz w:val="20"/>
          <w:szCs w:val="20"/>
        </w:rPr>
      </w:pPr>
      <w:r w:rsidRPr="005F11BF">
        <w:rPr>
          <w:rFonts w:ascii="Times New Roman" w:hAnsi="Times New Roman" w:cs="Times New Roman"/>
          <w:b/>
          <w:bCs/>
          <w:sz w:val="20"/>
          <w:szCs w:val="20"/>
        </w:rPr>
        <w:t>Determination of Activity Concentrations</w:t>
      </w:r>
    </w:p>
    <w:p w14:paraId="7506E24C"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The activity concentration of each radionuclide in the soil samples was determined from the net count rate under selected gamma-ray photo peaks using Equation 1 (</w:t>
      </w:r>
      <w:proofErr w:type="spellStart"/>
      <w:r w:rsidRPr="003C05E7">
        <w:rPr>
          <w:rFonts w:ascii="Times New Roman" w:hAnsi="Times New Roman" w:cs="Times New Roman"/>
          <w:sz w:val="20"/>
          <w:szCs w:val="20"/>
        </w:rPr>
        <w:t>Daburum</w:t>
      </w:r>
      <w:proofErr w:type="spellEnd"/>
      <w:r w:rsidRPr="003C05E7">
        <w:rPr>
          <w:rFonts w:ascii="Times New Roman" w:hAnsi="Times New Roman" w:cs="Times New Roman"/>
          <w:sz w:val="20"/>
          <w:szCs w:val="20"/>
        </w:rPr>
        <w:t xml:space="preserve"> et al., 2023; Abdu et al., 2024):</w:t>
      </w:r>
    </w:p>
    <w:p w14:paraId="2424635D" w14:textId="77777777" w:rsidR="003C05E7" w:rsidRPr="003C05E7" w:rsidRDefault="003C05E7" w:rsidP="002E79FB">
      <w:pPr>
        <w:tabs>
          <w:tab w:val="right" w:pos="9026"/>
        </w:tabs>
        <w:spacing w:after="0" w:line="240" w:lineRule="auto"/>
        <w:ind w:right="757"/>
        <w:rPr>
          <w:rFonts w:ascii="Times New Roman" w:hAnsi="Times New Roman" w:cs="Times New Roman"/>
          <w:sz w:val="20"/>
          <w:szCs w:val="20"/>
        </w:rPr>
      </w:pPr>
      <m:oMath>
        <m:r>
          <w:rPr>
            <w:rFonts w:ascii="Cambria Math" w:hAnsi="Cambria Math" w:cs="Times New Roman"/>
            <w:sz w:val="20"/>
            <w:szCs w:val="20"/>
          </w:rPr>
          <m:t>C (</m:t>
        </m:r>
        <m:sSup>
          <m:sSupPr>
            <m:ctrlPr>
              <w:rPr>
                <w:rFonts w:ascii="Cambria Math" w:eastAsia="Times New Roman" w:hAnsi="Cambria Math" w:cs="Times New Roman"/>
                <w:i/>
                <w:sz w:val="20"/>
                <w:szCs w:val="20"/>
                <w:lang w:val="zh-CN" w:eastAsia="zh-CN"/>
              </w:rPr>
            </m:ctrlPr>
          </m:sSupPr>
          <m:e>
            <m:r>
              <m:rPr>
                <m:sty m:val="p"/>
              </m:rPr>
              <w:rPr>
                <w:rFonts w:ascii="Cambria Math" w:hAnsi="Cambria Math" w:cs="Times New Roman"/>
                <w:sz w:val="20"/>
                <w:szCs w:val="20"/>
              </w:rPr>
              <m:t>Bq</m:t>
            </m:r>
            <m:r>
              <w:rPr>
                <w:rFonts w:ascii="Cambria Math" w:hAnsi="Cambria Math" w:cs="Times New Roman"/>
                <w:sz w:val="20"/>
                <w:szCs w:val="20"/>
              </w:rPr>
              <m:t xml:space="preserve"> kg</m:t>
            </m:r>
          </m:e>
          <m:sup>
            <m:r>
              <w:rPr>
                <w:rFonts w:ascii="Cambria Math" w:hAnsi="Cambria Math" w:cs="Times New Roman"/>
                <w:sz w:val="20"/>
                <w:szCs w:val="20"/>
              </w:rPr>
              <m:t>-1</m:t>
            </m:r>
          </m:sup>
        </m:sSup>
        <m:r>
          <w:rPr>
            <w:rFonts w:ascii="Cambria Math" w:hAnsi="Cambria Math" w:cs="Times New Roman"/>
            <w:sz w:val="20"/>
            <w:szCs w:val="20"/>
          </w:rPr>
          <m:t xml:space="preserve">) = </m:t>
        </m:r>
        <m:f>
          <m:fPr>
            <m:ctrlPr>
              <w:rPr>
                <w:rFonts w:ascii="Cambria Math" w:eastAsia="Times New Roman" w:hAnsi="Cambria Math" w:cs="Times New Roman"/>
                <w:i/>
                <w:iCs/>
                <w:sz w:val="20"/>
                <w:szCs w:val="20"/>
                <w:lang w:val="zh-CN" w:eastAsia="zh-CN"/>
              </w:rPr>
            </m:ctrlPr>
          </m:fPr>
          <m:num>
            <m:sSub>
              <m:sSubPr>
                <m:ctrlPr>
                  <w:rPr>
                    <w:rFonts w:ascii="Cambria Math" w:eastAsia="Times New Roman" w:hAnsi="Cambria Math" w:cs="Times New Roman"/>
                    <w:i/>
                    <w:iCs/>
                    <w:sz w:val="20"/>
                    <w:szCs w:val="20"/>
                    <w:lang w:val="zh-CN" w:eastAsia="zh-CN"/>
                  </w:rPr>
                </m:ctrlPr>
              </m:sSubPr>
              <m:e>
                <m:r>
                  <w:rPr>
                    <w:rFonts w:ascii="Cambria Math" w:hAnsi="Cambria Math" w:cs="Times New Roman"/>
                    <w:sz w:val="20"/>
                    <w:szCs w:val="20"/>
                  </w:rPr>
                  <m:t>C</m:t>
                </m:r>
              </m:e>
              <m:sub>
                <m:r>
                  <w:rPr>
                    <w:rFonts w:ascii="Cambria Math" w:hAnsi="Cambria Math" w:cs="Times New Roman"/>
                    <w:sz w:val="20"/>
                    <w:szCs w:val="20"/>
                  </w:rPr>
                  <m:t>n</m:t>
                </m:r>
              </m:sub>
            </m:sSub>
          </m:num>
          <m:den>
            <m:sSub>
              <m:sSubPr>
                <m:ctrlPr>
                  <w:rPr>
                    <w:rFonts w:ascii="Cambria Math" w:eastAsia="Times New Roman" w:hAnsi="Cambria Math" w:cs="Times New Roman"/>
                    <w:i/>
                    <w:iCs/>
                    <w:sz w:val="20"/>
                    <w:szCs w:val="20"/>
                    <w:lang w:val="zh-CN" w:eastAsia="zh-CN"/>
                  </w:rPr>
                </m:ctrlPr>
              </m:sSubPr>
              <m:e>
                <m:r>
                  <w:rPr>
                    <w:rFonts w:ascii="Cambria Math" w:hAnsi="Cambria Math" w:cs="Times New Roman"/>
                    <w:sz w:val="20"/>
                    <w:szCs w:val="20"/>
                  </w:rPr>
                  <m:t>C</m:t>
                </m:r>
              </m:e>
              <m:sub>
                <m:r>
                  <w:rPr>
                    <w:rFonts w:ascii="Cambria Math" w:hAnsi="Cambria Math" w:cs="Times New Roman"/>
                    <w:sz w:val="20"/>
                    <w:szCs w:val="20"/>
                  </w:rPr>
                  <m:t>fk</m:t>
                </m:r>
              </m:sub>
            </m:sSub>
          </m:den>
        </m:f>
        <m:r>
          <w:rPr>
            <w:rFonts w:ascii="Cambria Math" w:hAnsi="Cambria Math" w:cs="Times New Roman"/>
            <w:sz w:val="20"/>
            <w:szCs w:val="20"/>
          </w:rPr>
          <m:t xml:space="preserve">     </m:t>
        </m:r>
      </m:oMath>
      <w:r w:rsidRPr="003C05E7">
        <w:rPr>
          <w:rFonts w:ascii="Times New Roman" w:hAnsi="Times New Roman" w:cs="Times New Roman"/>
          <w:sz w:val="20"/>
          <w:szCs w:val="20"/>
        </w:rPr>
        <w:tab/>
        <w:t>(1)</w:t>
      </w:r>
    </w:p>
    <w:p w14:paraId="2304B40A"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where C is the activity concentration of the radionuclide in the sample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w:t>
      </w:r>
      <m:oMath>
        <m:sSub>
          <m:sSubPr>
            <m:ctrlPr>
              <w:rPr>
                <w:rFonts w:ascii="Cambria Math" w:eastAsia="Times New Roman" w:hAnsi="Cambria Math" w:cs="Times New Roman"/>
                <w:i/>
                <w:iCs/>
                <w:sz w:val="20"/>
                <w:szCs w:val="20"/>
                <w:lang w:val="zh-CN" w:eastAsia="zh-CN"/>
              </w:rPr>
            </m:ctrlPr>
          </m:sSubPr>
          <m:e>
            <m:r>
              <w:rPr>
                <w:rFonts w:ascii="Cambria Math" w:hAnsi="Cambria Math" w:cs="Times New Roman"/>
                <w:sz w:val="20"/>
                <w:szCs w:val="20"/>
              </w:rPr>
              <m:t>C</m:t>
            </m:r>
          </m:e>
          <m:sub>
            <m:r>
              <w:rPr>
                <w:rFonts w:ascii="Cambria Math" w:hAnsi="Cambria Math" w:cs="Times New Roman"/>
                <w:sz w:val="20"/>
                <w:szCs w:val="20"/>
              </w:rPr>
              <m:t>n</m:t>
            </m:r>
          </m:sub>
        </m:sSub>
      </m:oMath>
      <w:r w:rsidRPr="003C05E7">
        <w:rPr>
          <w:rFonts w:ascii="Times New Roman" w:hAnsi="Times New Roman" w:cs="Times New Roman"/>
          <w:sz w:val="20"/>
          <w:szCs w:val="20"/>
        </w:rPr>
        <w:t xml:space="preserve"> is the net count rate (counts per second, cps), calculated as Equation 2:</w:t>
      </w:r>
    </w:p>
    <w:p w14:paraId="067BA187" w14:textId="77777777" w:rsidR="003C05E7" w:rsidRPr="003C05E7" w:rsidRDefault="00724412" w:rsidP="002E79FB">
      <w:pPr>
        <w:tabs>
          <w:tab w:val="right" w:pos="9026"/>
        </w:tabs>
        <w:spacing w:after="0" w:line="240" w:lineRule="auto"/>
        <w:ind w:right="757"/>
        <w:rPr>
          <w:rFonts w:ascii="Times New Roman" w:hAnsi="Times New Roman" w:cs="Times New Roman"/>
          <w:sz w:val="20"/>
          <w:szCs w:val="20"/>
        </w:rPr>
      </w:pPr>
      <m:oMath>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C</m:t>
            </m:r>
          </m:e>
          <m:sub>
            <m:r>
              <w:rPr>
                <w:rFonts w:ascii="Cambria Math" w:hAnsi="Cambria Math" w:cs="Times New Roman"/>
                <w:sz w:val="20"/>
                <w:szCs w:val="20"/>
              </w:rPr>
              <m:t>n</m:t>
            </m:r>
          </m:sub>
        </m:sSub>
      </m:oMath>
      <w:r w:rsidR="003C05E7" w:rsidRPr="003C05E7">
        <w:rPr>
          <w:rFonts w:ascii="Times New Roman" w:hAnsi="Times New Roman" w:cs="Times New Roman"/>
          <w:sz w:val="20"/>
          <w:szCs w:val="20"/>
        </w:rPr>
        <w:t xml:space="preserve">(cps) = </w:t>
      </w:r>
      <m:oMath>
        <m:f>
          <m:fPr>
            <m:ctrlPr>
              <w:rPr>
                <w:rFonts w:ascii="Cambria Math" w:eastAsia="Times New Roman" w:hAnsi="Cambria Math" w:cs="Times New Roman"/>
                <w:i/>
                <w:sz w:val="20"/>
                <w:szCs w:val="20"/>
                <w:lang w:val="zh-CN" w:eastAsia="zh-CN"/>
              </w:rPr>
            </m:ctrlPr>
          </m:fPr>
          <m:num>
            <m:r>
              <w:rPr>
                <w:rFonts w:ascii="Cambria Math" w:hAnsi="Cambria Math" w:cs="Times New Roman"/>
                <w:sz w:val="20"/>
                <w:szCs w:val="20"/>
              </w:rPr>
              <m:t>Net Counts</m:t>
            </m:r>
          </m:num>
          <m:den>
            <m:r>
              <w:rPr>
                <w:rFonts w:ascii="Cambria Math" w:hAnsi="Cambria Math" w:cs="Times New Roman"/>
                <w:sz w:val="20"/>
                <w:szCs w:val="20"/>
              </w:rPr>
              <m:t>Live Time(s)</m:t>
            </m:r>
          </m:den>
        </m:f>
      </m:oMath>
      <w:r w:rsidR="003C05E7" w:rsidRPr="003C05E7">
        <w:rPr>
          <w:rFonts w:ascii="Times New Roman" w:hAnsi="Times New Roman" w:cs="Times New Roman"/>
          <w:sz w:val="20"/>
          <w:szCs w:val="20"/>
        </w:rPr>
        <w:tab/>
        <w:t>(2)</w:t>
      </w:r>
    </w:p>
    <w:p w14:paraId="4FF06CDE" w14:textId="33CA840C"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and </w:t>
      </w:r>
      <m:oMath>
        <m:sSub>
          <m:sSubPr>
            <m:ctrlPr>
              <w:rPr>
                <w:rFonts w:ascii="Cambria Math" w:eastAsia="Times New Roman" w:hAnsi="Cambria Math" w:cs="Times New Roman"/>
                <w:i/>
                <w:iCs/>
                <w:sz w:val="20"/>
                <w:szCs w:val="20"/>
                <w:lang w:val="zh-CN" w:eastAsia="zh-CN"/>
              </w:rPr>
            </m:ctrlPr>
          </m:sSubPr>
          <m:e>
            <m:r>
              <w:rPr>
                <w:rFonts w:ascii="Cambria Math" w:hAnsi="Cambria Math" w:cs="Times New Roman"/>
                <w:sz w:val="20"/>
                <w:szCs w:val="20"/>
              </w:rPr>
              <m:t>C</m:t>
            </m:r>
          </m:e>
          <m:sub>
            <m:r>
              <w:rPr>
                <w:rFonts w:ascii="Cambria Math" w:hAnsi="Cambria Math" w:cs="Times New Roman"/>
                <w:sz w:val="20"/>
                <w:szCs w:val="20"/>
              </w:rPr>
              <m:t>fk</m:t>
            </m:r>
          </m:sub>
        </m:sSub>
      </m:oMath>
      <w:r w:rsidRPr="003C05E7">
        <w:rPr>
          <w:rFonts w:ascii="Times New Roman" w:hAnsi="Times New Roman" w:cs="Times New Roman"/>
          <w:sz w:val="20"/>
          <w:szCs w:val="20"/>
        </w:rPr>
        <w:t xml:space="preserve"> is the calibration factor of the </w:t>
      </w:r>
      <w:proofErr w:type="gramStart"/>
      <w:r w:rsidRPr="003C05E7">
        <w:rPr>
          <w:rFonts w:ascii="Times New Roman" w:hAnsi="Times New Roman" w:cs="Times New Roman"/>
          <w:sz w:val="20"/>
          <w:szCs w:val="20"/>
        </w:rPr>
        <w:t>NaI(</w:t>
      </w:r>
      <w:proofErr w:type="gramEnd"/>
      <w:r w:rsidRPr="003C05E7">
        <w:rPr>
          <w:rFonts w:ascii="Times New Roman" w:hAnsi="Times New Roman" w:cs="Times New Roman"/>
          <w:sz w:val="20"/>
          <w:szCs w:val="20"/>
        </w:rPr>
        <w:t xml:space="preserve">Tl) detection system for the respective radionuclide (Table 1). The activity concentration of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was determined from the 1764.0 keV gamma line of </w:t>
      </w:r>
      <w:r w:rsidRPr="003C05E7">
        <w:rPr>
          <w:rFonts w:ascii="Times New Roman" w:hAnsi="Times New Roman" w:cs="Times New Roman"/>
          <w:sz w:val="20"/>
          <w:szCs w:val="20"/>
          <w:vertAlign w:val="superscript"/>
        </w:rPr>
        <w:t>214</w:t>
      </w:r>
      <w:r w:rsidRPr="003C05E7">
        <w:rPr>
          <w:rFonts w:ascii="Times New Roman" w:hAnsi="Times New Roman" w:cs="Times New Roman"/>
          <w:sz w:val="20"/>
          <w:szCs w:val="20"/>
        </w:rPr>
        <w:t xml:space="preserve">Bi (energy window: 1620–1820 keV). The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concentration was determined from the 2614.5 keV gamma line of </w:t>
      </w:r>
      <w:r w:rsidRPr="003C05E7">
        <w:rPr>
          <w:rFonts w:ascii="Times New Roman" w:hAnsi="Times New Roman" w:cs="Times New Roman"/>
          <w:sz w:val="20"/>
          <w:szCs w:val="20"/>
          <w:vertAlign w:val="superscript"/>
        </w:rPr>
        <w:t>208</w:t>
      </w:r>
      <w:r w:rsidRPr="003C05E7">
        <w:rPr>
          <w:rFonts w:ascii="Times New Roman" w:hAnsi="Times New Roman" w:cs="Times New Roman"/>
          <w:sz w:val="20"/>
          <w:szCs w:val="20"/>
        </w:rPr>
        <w:t xml:space="preserve">Tl (energy window: 2480–2820 keV). The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K concentration was derived from its 1460.0 keV gamma transition (energy window: 1380–1550 keV).</w:t>
      </w:r>
    </w:p>
    <w:p w14:paraId="7B38A1C3" w14:textId="46A2BB23" w:rsidR="00E82B09" w:rsidRDefault="00E82B09" w:rsidP="003C05E7">
      <w:pPr>
        <w:spacing w:after="0" w:line="240" w:lineRule="auto"/>
        <w:jc w:val="both"/>
        <w:rPr>
          <w:rFonts w:ascii="Times New Roman" w:hAnsi="Times New Roman" w:cs="Times New Roman"/>
          <w:sz w:val="20"/>
          <w:szCs w:val="20"/>
        </w:rPr>
      </w:pPr>
    </w:p>
    <w:p w14:paraId="6BF20CF2" w14:textId="3FE79AF2" w:rsidR="00E82B09" w:rsidRDefault="00E82B09" w:rsidP="003C05E7">
      <w:pPr>
        <w:spacing w:after="0" w:line="240" w:lineRule="auto"/>
        <w:jc w:val="both"/>
        <w:rPr>
          <w:rFonts w:ascii="Times New Roman" w:hAnsi="Times New Roman" w:cs="Times New Roman"/>
          <w:sz w:val="20"/>
          <w:szCs w:val="20"/>
        </w:rPr>
      </w:pPr>
    </w:p>
    <w:p w14:paraId="333019A5" w14:textId="77777777" w:rsidR="00E82B09" w:rsidRDefault="00E82B09" w:rsidP="003C05E7">
      <w:pPr>
        <w:spacing w:after="0" w:line="240" w:lineRule="auto"/>
        <w:jc w:val="both"/>
        <w:rPr>
          <w:rFonts w:ascii="Times New Roman" w:hAnsi="Times New Roman" w:cs="Times New Roman"/>
          <w:sz w:val="20"/>
          <w:szCs w:val="20"/>
        </w:rPr>
      </w:pPr>
    </w:p>
    <w:p w14:paraId="558D5CA9" w14:textId="77777777" w:rsidR="003C05E7" w:rsidRPr="005F11BF" w:rsidRDefault="003C05E7" w:rsidP="003C05E7">
      <w:pPr>
        <w:spacing w:after="0" w:line="240" w:lineRule="auto"/>
        <w:rPr>
          <w:rFonts w:ascii="Times New Roman" w:hAnsi="Times New Roman" w:cs="Times New Roman"/>
          <w:sz w:val="20"/>
          <w:szCs w:val="20"/>
        </w:rPr>
      </w:pPr>
      <w:r w:rsidRPr="005F11BF">
        <w:rPr>
          <w:rFonts w:ascii="Times New Roman" w:hAnsi="Times New Roman" w:cs="Times New Roman"/>
          <w:b/>
          <w:bCs/>
          <w:sz w:val="20"/>
          <w:szCs w:val="20"/>
        </w:rPr>
        <w:lastRenderedPageBreak/>
        <w:t>Quality Assurance and Quality Control</w:t>
      </w:r>
    </w:p>
    <w:p w14:paraId="2B289B55" w14:textId="050D61D7" w:rsidR="003C05E7" w:rsidRDefault="003C05E7" w:rsidP="003C05E7">
      <w:pPr>
        <w:spacing w:after="0" w:line="240" w:lineRule="auto"/>
        <w:jc w:val="both"/>
        <w:rPr>
          <w:rFonts w:ascii="Times New Roman" w:hAnsi="Times New Roman" w:cs="Times New Roman"/>
          <w:sz w:val="20"/>
          <w:szCs w:val="20"/>
        </w:rPr>
      </w:pPr>
      <w:r w:rsidRPr="005F11BF">
        <w:rPr>
          <w:rFonts w:ascii="Times New Roman" w:hAnsi="Times New Roman" w:cs="Times New Roman"/>
          <w:sz w:val="20"/>
          <w:szCs w:val="20"/>
        </w:rPr>
        <w:t>R</w:t>
      </w:r>
      <w:r w:rsidRPr="003C05E7">
        <w:rPr>
          <w:rFonts w:ascii="Times New Roman" w:hAnsi="Times New Roman" w:cs="Times New Roman"/>
          <w:sz w:val="20"/>
          <w:szCs w:val="20"/>
        </w:rPr>
        <w:t xml:space="preserve">igorous quality control was maintained throughout the analytical procedure. Detector background spectra were acquired regularly and subtracted from all sample spectra. The IAEA standard reference materials (RGK-1, RGU-1, and RGTh-1) were </w:t>
      </w:r>
      <w:proofErr w:type="spellStart"/>
      <w:r w:rsidRPr="003C05E7">
        <w:rPr>
          <w:rFonts w:ascii="Times New Roman" w:hAnsi="Times New Roman" w:cs="Times New Roman"/>
          <w:sz w:val="20"/>
          <w:szCs w:val="20"/>
        </w:rPr>
        <w:t>analysed</w:t>
      </w:r>
      <w:proofErr w:type="spellEnd"/>
      <w:r w:rsidRPr="003C05E7">
        <w:rPr>
          <w:rFonts w:ascii="Times New Roman" w:hAnsi="Times New Roman" w:cs="Times New Roman"/>
          <w:sz w:val="20"/>
          <w:szCs w:val="20"/>
        </w:rPr>
        <w:t xml:space="preserve"> using the same procedure as the samples, and measured values were compared against IAEA-certified reference values. Satisfactory agreement was achieved for all three radionuclides, confirming the reliability of the analytical procedure. Detection limits were 14.54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for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 xml:space="preserve">K, 3.84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for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and 9.08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for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Th.</w:t>
      </w:r>
    </w:p>
    <w:p w14:paraId="6D6F3504" w14:textId="77777777" w:rsidR="00FF6215" w:rsidRPr="003C05E7" w:rsidRDefault="00FF6215" w:rsidP="003C05E7">
      <w:pPr>
        <w:spacing w:after="0" w:line="240" w:lineRule="auto"/>
        <w:jc w:val="both"/>
        <w:rPr>
          <w:rFonts w:ascii="Times New Roman" w:hAnsi="Times New Roman" w:cs="Times New Roman"/>
          <w:sz w:val="20"/>
          <w:szCs w:val="20"/>
        </w:rPr>
      </w:pPr>
    </w:p>
    <w:p w14:paraId="4FDBE0D9" w14:textId="77777777" w:rsidR="003C05E7" w:rsidRPr="00FF6215" w:rsidRDefault="003C05E7" w:rsidP="00FF6215">
      <w:pPr>
        <w:spacing w:after="0" w:line="240" w:lineRule="auto"/>
        <w:jc w:val="both"/>
        <w:rPr>
          <w:rFonts w:ascii="Times New Roman" w:hAnsi="Times New Roman" w:cs="Times New Roman"/>
          <w:sz w:val="20"/>
          <w:szCs w:val="20"/>
        </w:rPr>
      </w:pPr>
      <w:r w:rsidRPr="00FF6215">
        <w:rPr>
          <w:rFonts w:ascii="Times New Roman" w:hAnsi="Times New Roman" w:cs="Times New Roman"/>
          <w:b/>
          <w:bCs/>
          <w:sz w:val="20"/>
          <w:szCs w:val="20"/>
        </w:rPr>
        <w:t>Rate of Radionuclide Release from the Contaminated Zone</w:t>
      </w:r>
    </w:p>
    <w:p w14:paraId="414DBDEC"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In RESRAD-Onsite 7.2, the release rate of radionuclides from the contaminated soil zone is governed by a nuclide-specific, first-order leach rate constant. This approach accounts for the partitioning of radionuclides between the soil solid phase and pore water, as quantified by the soil-water distribution coefficient (</w:t>
      </w:r>
      <w:proofErr w:type="spellStart"/>
      <w:r w:rsidRPr="003C05E7">
        <w:rPr>
          <w:rFonts w:ascii="Times New Roman" w:hAnsi="Times New Roman" w:cs="Times New Roman"/>
          <w:i/>
          <w:iCs/>
          <w:sz w:val="20"/>
          <w:szCs w:val="20"/>
        </w:rPr>
        <w:t>K</w:t>
      </w:r>
      <w:r w:rsidRPr="003C05E7">
        <w:rPr>
          <w:rFonts w:ascii="Times New Roman" w:hAnsi="Times New Roman" w:cs="Times New Roman"/>
          <w:sz w:val="20"/>
          <w:szCs w:val="20"/>
        </w:rPr>
        <w:t>d</w:t>
      </w:r>
      <w:proofErr w:type="spellEnd"/>
      <w:r w:rsidRPr="003C05E7">
        <w:rPr>
          <w:rFonts w:ascii="Times New Roman" w:hAnsi="Times New Roman" w:cs="Times New Roman"/>
          <w:sz w:val="20"/>
          <w:szCs w:val="20"/>
        </w:rPr>
        <w:t xml:space="preserve">). The radionuclide release rate for species </w:t>
      </w:r>
      <w:proofErr w:type="spellStart"/>
      <w:r w:rsidRPr="003C05E7">
        <w:rPr>
          <w:rFonts w:ascii="Times New Roman" w:hAnsi="Times New Roman" w:cs="Times New Roman"/>
          <w:sz w:val="20"/>
          <w:szCs w:val="20"/>
        </w:rPr>
        <w:t>i</w:t>
      </w:r>
      <w:proofErr w:type="spellEnd"/>
      <w:r w:rsidRPr="003C05E7">
        <w:rPr>
          <w:rFonts w:ascii="Times New Roman" w:hAnsi="Times New Roman" w:cs="Times New Roman"/>
          <w:sz w:val="20"/>
          <w:szCs w:val="20"/>
        </w:rPr>
        <w:t xml:space="preserve"> is given by Equation 3 (Yu et al., 2001b; </w:t>
      </w:r>
      <w:proofErr w:type="spellStart"/>
      <w:r w:rsidRPr="003C05E7">
        <w:rPr>
          <w:rFonts w:ascii="Times New Roman" w:hAnsi="Times New Roman" w:cs="Times New Roman"/>
          <w:sz w:val="20"/>
          <w:szCs w:val="20"/>
        </w:rPr>
        <w:t>Njinga</w:t>
      </w:r>
      <w:proofErr w:type="spellEnd"/>
      <w:r w:rsidRPr="003C05E7">
        <w:rPr>
          <w:rFonts w:ascii="Times New Roman" w:hAnsi="Times New Roman" w:cs="Times New Roman"/>
          <w:sz w:val="20"/>
          <w:szCs w:val="20"/>
        </w:rPr>
        <w:t xml:space="preserve"> &amp; </w:t>
      </w:r>
      <w:proofErr w:type="spellStart"/>
      <w:r w:rsidRPr="003C05E7">
        <w:rPr>
          <w:rFonts w:ascii="Times New Roman" w:hAnsi="Times New Roman" w:cs="Times New Roman"/>
          <w:sz w:val="20"/>
          <w:szCs w:val="20"/>
        </w:rPr>
        <w:t>Tshivhase</w:t>
      </w:r>
      <w:proofErr w:type="spellEnd"/>
      <w:r w:rsidRPr="003C05E7">
        <w:rPr>
          <w:rFonts w:ascii="Times New Roman" w:hAnsi="Times New Roman" w:cs="Times New Roman"/>
          <w:sz w:val="20"/>
          <w:szCs w:val="20"/>
        </w:rPr>
        <w:t>, 2018):</w:t>
      </w:r>
    </w:p>
    <w:p w14:paraId="5E7BDF73" w14:textId="77777777" w:rsidR="003C05E7" w:rsidRPr="003C05E7" w:rsidRDefault="00724412" w:rsidP="002E79FB">
      <w:pPr>
        <w:tabs>
          <w:tab w:val="right" w:pos="9026"/>
        </w:tabs>
        <w:spacing w:after="0" w:line="240" w:lineRule="auto"/>
        <w:ind w:right="757"/>
        <w:rPr>
          <w:rFonts w:ascii="Times New Roman" w:hAnsi="Times New Roman" w:cs="Times New Roman"/>
          <w:sz w:val="20"/>
          <w:szCs w:val="20"/>
        </w:rPr>
      </w:pPr>
      <m:oMath>
        <m:f>
          <m:fPr>
            <m:ctrlPr>
              <w:rPr>
                <w:rFonts w:ascii="Cambria Math" w:eastAsia="Times New Roman" w:hAnsi="Cambria Math" w:cs="Times New Roman"/>
                <w:i/>
                <w:sz w:val="20"/>
                <w:szCs w:val="20"/>
                <w:lang w:val="zh-CN" w:eastAsia="zh-CN"/>
              </w:rPr>
            </m:ctrlPr>
          </m:fPr>
          <m:num>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dR</m:t>
                </m:r>
              </m:e>
              <m:sub>
                <m:r>
                  <w:rPr>
                    <w:rFonts w:ascii="Cambria Math" w:hAnsi="Cambria Math" w:cs="Times New Roman"/>
                    <w:sz w:val="20"/>
                    <w:szCs w:val="20"/>
                  </w:rPr>
                  <m:t>i</m:t>
                </m:r>
              </m:sub>
            </m:sSub>
            <m:r>
              <w:rPr>
                <w:rFonts w:ascii="Cambria Math" w:hAnsi="Cambria Math" w:cs="Times New Roman"/>
                <w:sz w:val="20"/>
                <w:szCs w:val="20"/>
              </w:rPr>
              <m:t>(t)</m:t>
            </m:r>
          </m:num>
          <m:den>
            <m:r>
              <w:rPr>
                <w:rFonts w:ascii="Cambria Math" w:hAnsi="Cambria Math" w:cs="Times New Roman"/>
                <w:sz w:val="20"/>
                <w:szCs w:val="20"/>
              </w:rPr>
              <m:t>dt</m:t>
            </m:r>
          </m:den>
        </m:f>
        <m:r>
          <w:rPr>
            <w:rFonts w:ascii="Cambria Math" w:hAnsi="Cambria Math" w:cs="Times New Roman"/>
            <w:sz w:val="20"/>
            <w:szCs w:val="20"/>
          </w:rPr>
          <m:t>=</m:t>
        </m:r>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L</m:t>
            </m:r>
          </m:e>
          <m:sub>
            <m:r>
              <w:rPr>
                <w:rFonts w:ascii="Cambria Math" w:hAnsi="Cambria Math" w:cs="Times New Roman"/>
                <w:sz w:val="20"/>
                <w:szCs w:val="20"/>
              </w:rPr>
              <m:t>i</m:t>
            </m:r>
          </m:sub>
        </m:sSub>
        <m:r>
          <w:rPr>
            <w:rFonts w:ascii="Cambria Math" w:hAnsi="Cambria Math" w:cs="Times New Roman"/>
            <w:sz w:val="20"/>
            <w:szCs w:val="20"/>
          </w:rPr>
          <m:t>* ρb*A*T</m:t>
        </m:r>
        <m:d>
          <m:dPr>
            <m:ctrlPr>
              <w:rPr>
                <w:rFonts w:ascii="Cambria Math" w:eastAsia="Times New Roman" w:hAnsi="Cambria Math" w:cs="Times New Roman"/>
                <w:i/>
                <w:sz w:val="20"/>
                <w:szCs w:val="20"/>
                <w:lang w:val="zh-CN" w:eastAsia="zh-CN"/>
              </w:rPr>
            </m:ctrlPr>
          </m:dPr>
          <m:e>
            <m:r>
              <w:rPr>
                <w:rFonts w:ascii="Cambria Math" w:hAnsi="Cambria Math" w:cs="Times New Roman"/>
                <w:sz w:val="20"/>
                <w:szCs w:val="20"/>
              </w:rPr>
              <m:t>t</m:t>
            </m:r>
          </m:e>
        </m:d>
        <m:r>
          <w:rPr>
            <w:rFonts w:ascii="Cambria Math" w:hAnsi="Cambria Math" w:cs="Times New Roman"/>
            <w:sz w:val="20"/>
            <w:szCs w:val="20"/>
          </w:rPr>
          <m:t xml:space="preserve">* </m:t>
        </m:r>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S</m:t>
            </m:r>
          </m:e>
          <m:sub>
            <m:r>
              <w:rPr>
                <w:rFonts w:ascii="Cambria Math" w:hAnsi="Cambria Math" w:cs="Times New Roman"/>
                <w:sz w:val="20"/>
                <w:szCs w:val="20"/>
              </w:rPr>
              <m:t>i</m:t>
            </m:r>
          </m:sub>
        </m:sSub>
        <m:r>
          <w:rPr>
            <w:rFonts w:ascii="Cambria Math" w:hAnsi="Cambria Math" w:cs="Times New Roman"/>
            <w:sz w:val="20"/>
            <w:szCs w:val="20"/>
          </w:rPr>
          <m:t>(t)</m:t>
        </m:r>
      </m:oMath>
      <w:r w:rsidR="003C05E7" w:rsidRPr="003C05E7">
        <w:rPr>
          <w:rFonts w:ascii="Times New Roman" w:hAnsi="Times New Roman" w:cs="Times New Roman"/>
          <w:sz w:val="20"/>
          <w:szCs w:val="20"/>
        </w:rPr>
        <w:t xml:space="preserve"> </w:t>
      </w:r>
      <w:r w:rsidR="003C05E7" w:rsidRPr="003C05E7">
        <w:rPr>
          <w:rFonts w:ascii="Times New Roman" w:hAnsi="Times New Roman" w:cs="Times New Roman"/>
          <w:sz w:val="20"/>
          <w:szCs w:val="20"/>
        </w:rPr>
        <w:tab/>
        <w:t>(3)</w:t>
      </w:r>
    </w:p>
    <w:p w14:paraId="51381B03"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where </w:t>
      </w:r>
      <m:oMath>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L</m:t>
            </m:r>
          </m:e>
          <m:sub>
            <m:r>
              <w:rPr>
                <w:rFonts w:ascii="Cambria Math" w:hAnsi="Cambria Math" w:cs="Times New Roman"/>
                <w:sz w:val="20"/>
                <w:szCs w:val="20"/>
              </w:rPr>
              <m:t>i</m:t>
            </m:r>
          </m:sub>
        </m:sSub>
      </m:oMath>
      <w:r w:rsidRPr="003C05E7">
        <w:rPr>
          <w:rFonts w:ascii="Times New Roman" w:hAnsi="Times New Roman" w:cs="Times New Roman"/>
          <w:sz w:val="20"/>
          <w:szCs w:val="20"/>
        </w:rPr>
        <w:t xml:space="preserve"> is the first-order leach rate constant for radionuclide </w:t>
      </w:r>
      <w:proofErr w:type="spellStart"/>
      <w:r w:rsidRPr="003C05E7">
        <w:rPr>
          <w:rFonts w:ascii="Times New Roman" w:hAnsi="Times New Roman" w:cs="Times New Roman"/>
          <w:sz w:val="20"/>
          <w:szCs w:val="20"/>
        </w:rPr>
        <w:t>i</w:t>
      </w:r>
      <w:proofErr w:type="spellEnd"/>
      <w:r w:rsidRPr="003C05E7">
        <w:rPr>
          <w:rFonts w:ascii="Times New Roman" w:hAnsi="Times New Roman" w:cs="Times New Roman"/>
          <w:sz w:val="20"/>
          <w:szCs w:val="20"/>
        </w:rPr>
        <w:t xml:space="preserve">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w:t>
      </w:r>
      <m:oMath>
        <m:r>
          <w:rPr>
            <w:rFonts w:ascii="Cambria Math" w:hAnsi="Cambria Math" w:cs="Times New Roman"/>
            <w:sz w:val="20"/>
            <w:szCs w:val="20"/>
          </w:rPr>
          <m:t xml:space="preserve"> ρb</m:t>
        </m:r>
      </m:oMath>
      <w:r w:rsidRPr="003C05E7">
        <w:rPr>
          <w:rFonts w:ascii="Times New Roman" w:hAnsi="Times New Roman" w:cs="Times New Roman"/>
          <w:sz w:val="20"/>
          <w:szCs w:val="20"/>
        </w:rPr>
        <w:t xml:space="preserve"> is the bulk density of the contaminated zone (kg m</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³); A is the area of the contaminated zone (m²); </w:t>
      </w:r>
      <m:oMath>
        <m:r>
          <w:rPr>
            <w:rFonts w:ascii="Cambria Math" w:hAnsi="Cambria Math" w:cs="Times New Roman"/>
            <w:sz w:val="20"/>
            <w:szCs w:val="20"/>
          </w:rPr>
          <m:t>T</m:t>
        </m:r>
        <m:d>
          <m:dPr>
            <m:ctrlPr>
              <w:rPr>
                <w:rFonts w:ascii="Cambria Math" w:eastAsia="Times New Roman" w:hAnsi="Cambria Math" w:cs="Times New Roman"/>
                <w:i/>
                <w:sz w:val="20"/>
                <w:szCs w:val="20"/>
                <w:lang w:val="zh-CN" w:eastAsia="zh-CN"/>
              </w:rPr>
            </m:ctrlPr>
          </m:dPr>
          <m:e>
            <m:r>
              <w:rPr>
                <w:rFonts w:ascii="Cambria Math" w:hAnsi="Cambria Math" w:cs="Times New Roman"/>
                <w:sz w:val="20"/>
                <w:szCs w:val="20"/>
              </w:rPr>
              <m:t>t</m:t>
            </m:r>
          </m:e>
        </m:d>
      </m:oMath>
      <w:r w:rsidRPr="003C05E7">
        <w:rPr>
          <w:rFonts w:ascii="Times New Roman" w:hAnsi="Times New Roman" w:cs="Times New Roman"/>
          <w:sz w:val="20"/>
          <w:szCs w:val="20"/>
        </w:rPr>
        <w:t xml:space="preserve"> is the thickness of the contaminated zone at time t (m); and </w:t>
      </w:r>
      <m:oMath>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S</m:t>
            </m:r>
          </m:e>
          <m:sub>
            <m:r>
              <w:rPr>
                <w:rFonts w:ascii="Cambria Math" w:hAnsi="Cambria Math" w:cs="Times New Roman"/>
                <w:sz w:val="20"/>
                <w:szCs w:val="20"/>
              </w:rPr>
              <m:t>i</m:t>
            </m:r>
          </m:sub>
        </m:sSub>
        <m:r>
          <w:rPr>
            <w:rFonts w:ascii="Cambria Math" w:hAnsi="Cambria Math" w:cs="Times New Roman"/>
            <w:sz w:val="20"/>
            <w:szCs w:val="20"/>
          </w:rPr>
          <m:t>(t)</m:t>
        </m:r>
      </m:oMath>
      <w:r w:rsidRPr="003C05E7">
        <w:rPr>
          <w:rFonts w:ascii="Times New Roman" w:hAnsi="Times New Roman" w:cs="Times New Roman"/>
          <w:sz w:val="20"/>
          <w:szCs w:val="20"/>
        </w:rPr>
        <w:t xml:space="preserve">  is the mean concentration of the iᵗʰ principal radionuclide available for leaching at time t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w:t>
      </w:r>
    </w:p>
    <w:p w14:paraId="707132EE"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The first-order leach rate constant used in RESRAD is a time-independent radionuclide leach rate constant. It is estimated based on the soil residence time for the initial thickness of the contaminated zone and is given by Equation 4 (</w:t>
      </w:r>
      <w:proofErr w:type="spellStart"/>
      <w:r w:rsidRPr="003C05E7">
        <w:rPr>
          <w:rFonts w:ascii="Times New Roman" w:hAnsi="Times New Roman" w:cs="Times New Roman"/>
          <w:sz w:val="20"/>
          <w:szCs w:val="20"/>
        </w:rPr>
        <w:t>Njinga</w:t>
      </w:r>
      <w:proofErr w:type="spellEnd"/>
      <w:r w:rsidRPr="003C05E7">
        <w:rPr>
          <w:rFonts w:ascii="Times New Roman" w:hAnsi="Times New Roman" w:cs="Times New Roman"/>
          <w:sz w:val="20"/>
          <w:szCs w:val="20"/>
        </w:rPr>
        <w:t xml:space="preserve"> &amp; </w:t>
      </w:r>
      <w:proofErr w:type="spellStart"/>
      <w:r w:rsidRPr="003C05E7">
        <w:rPr>
          <w:rFonts w:ascii="Times New Roman" w:hAnsi="Times New Roman" w:cs="Times New Roman"/>
          <w:sz w:val="20"/>
          <w:szCs w:val="20"/>
        </w:rPr>
        <w:t>Tshivhase</w:t>
      </w:r>
      <w:proofErr w:type="spellEnd"/>
      <w:r w:rsidRPr="003C05E7">
        <w:rPr>
          <w:rFonts w:ascii="Times New Roman" w:hAnsi="Times New Roman" w:cs="Times New Roman"/>
          <w:sz w:val="20"/>
          <w:szCs w:val="20"/>
        </w:rPr>
        <w:t>, 2018):</w:t>
      </w:r>
    </w:p>
    <w:p w14:paraId="41BBC36E" w14:textId="77777777" w:rsidR="003C05E7" w:rsidRPr="003C05E7" w:rsidRDefault="00724412" w:rsidP="002E79FB">
      <w:pPr>
        <w:tabs>
          <w:tab w:val="right" w:pos="9026"/>
        </w:tabs>
        <w:spacing w:after="0" w:line="240" w:lineRule="auto"/>
        <w:ind w:right="757"/>
        <w:rPr>
          <w:rFonts w:ascii="Times New Roman" w:hAnsi="Times New Roman" w:cs="Times New Roman"/>
          <w:sz w:val="20"/>
          <w:szCs w:val="20"/>
        </w:rPr>
      </w:pPr>
      <m:oMath>
        <m:sSub>
          <m:sSubPr>
            <m:ctrlPr>
              <w:rPr>
                <w:rFonts w:ascii="Cambria Math" w:eastAsia="Times New Roman" w:hAnsi="Cambria Math" w:cs="Times New Roman"/>
                <w:sz w:val="18"/>
                <w:szCs w:val="18"/>
                <w:lang w:val="zh-CN" w:eastAsia="zh-CN"/>
              </w:rPr>
            </m:ctrlPr>
          </m:sSubPr>
          <m:e>
            <m:r>
              <w:rPr>
                <w:rFonts w:ascii="Cambria Math" w:hAnsi="Cambria Math" w:cs="Times New Roman"/>
                <w:sz w:val="18"/>
                <w:szCs w:val="18"/>
              </w:rPr>
              <m:t>L</m:t>
            </m:r>
          </m:e>
          <m:sub>
            <m:r>
              <w:rPr>
                <w:rFonts w:ascii="Cambria Math" w:hAnsi="Cambria Math" w:cs="Times New Roman"/>
                <w:sz w:val="18"/>
                <w:szCs w:val="18"/>
              </w:rPr>
              <m:t>i</m:t>
            </m:r>
          </m:sub>
        </m:sSub>
        <m:r>
          <m:rPr>
            <m:sty m:val="p"/>
          </m:rPr>
          <w:rPr>
            <w:rFonts w:ascii="Cambria Math" w:hAnsi="Cambria Math" w:cs="Times New Roman"/>
            <w:sz w:val="18"/>
            <w:szCs w:val="18"/>
          </w:rPr>
          <m:t xml:space="preserve"> = </m:t>
        </m:r>
        <m:f>
          <m:fPr>
            <m:ctrlPr>
              <w:rPr>
                <w:rFonts w:ascii="Cambria Math" w:eastAsia="Times New Roman" w:hAnsi="Cambria Math" w:cs="Times New Roman"/>
                <w:sz w:val="18"/>
                <w:szCs w:val="18"/>
                <w:lang w:val="zh-CN" w:eastAsia="zh-CN"/>
              </w:rPr>
            </m:ctrlPr>
          </m:fPr>
          <m:num>
            <m:r>
              <w:rPr>
                <w:rFonts w:ascii="Cambria Math" w:hAnsi="Cambria Math" w:cs="Times New Roman"/>
                <w:sz w:val="18"/>
                <w:szCs w:val="18"/>
              </w:rPr>
              <m:t>I</m:t>
            </m:r>
          </m:num>
          <m:den>
            <m:sSub>
              <m:sSubPr>
                <m:ctrlPr>
                  <w:rPr>
                    <w:rFonts w:ascii="Cambria Math" w:eastAsia="Times New Roman" w:hAnsi="Cambria Math" w:cs="Times New Roman"/>
                    <w:sz w:val="18"/>
                    <w:szCs w:val="18"/>
                    <w:lang w:val="zh-CN" w:eastAsia="zh-CN"/>
                  </w:rPr>
                </m:ctrlPr>
              </m:sSubPr>
              <m:e>
                <m:r>
                  <w:rPr>
                    <w:rFonts w:ascii="Cambria Math" w:hAnsi="Cambria Math" w:cs="Times New Roman"/>
                    <w:sz w:val="18"/>
                    <w:szCs w:val="18"/>
                  </w:rPr>
                  <m:t>V</m:t>
                </m:r>
              </m:e>
              <m:sub>
                <m:r>
                  <w:rPr>
                    <w:rFonts w:ascii="Cambria Math" w:hAnsi="Cambria Math" w:cs="Times New Roman"/>
                    <w:sz w:val="18"/>
                    <w:szCs w:val="18"/>
                  </w:rPr>
                  <m:t>wc</m:t>
                </m:r>
              </m:sub>
            </m:sSub>
            <m:r>
              <m:rPr>
                <m:sty m:val="p"/>
              </m:rPr>
              <w:rPr>
                <w:rFonts w:ascii="Cambria Math" w:hAnsi="Cambria Math" w:cs="Times New Roman"/>
                <w:sz w:val="18"/>
                <w:szCs w:val="18"/>
              </w:rPr>
              <m:t xml:space="preserve"> × </m:t>
            </m:r>
            <m:sSub>
              <m:sSubPr>
                <m:ctrlPr>
                  <w:rPr>
                    <w:rFonts w:ascii="Cambria Math" w:eastAsia="Times New Roman" w:hAnsi="Cambria Math" w:cs="Times New Roman"/>
                    <w:sz w:val="18"/>
                    <w:szCs w:val="18"/>
                    <w:lang w:val="zh-CN" w:eastAsia="zh-CN"/>
                  </w:rPr>
                </m:ctrlPr>
              </m:sSubPr>
              <m:e>
                <m:r>
                  <w:rPr>
                    <w:rFonts w:ascii="Cambria Math" w:hAnsi="Cambria Math" w:cs="Times New Roman"/>
                    <w:sz w:val="18"/>
                    <w:szCs w:val="18"/>
                  </w:rPr>
                  <m:t>T</m:t>
                </m:r>
              </m:e>
              <m:sub>
                <m:r>
                  <m:rPr>
                    <m:sty m:val="p"/>
                  </m:rPr>
                  <w:rPr>
                    <w:rFonts w:ascii="Cambria Math" w:hAnsi="Cambria Math" w:cs="Times New Roman"/>
                    <w:sz w:val="18"/>
                    <w:szCs w:val="18"/>
                  </w:rPr>
                  <m:t>0</m:t>
                </m:r>
              </m:sub>
            </m:sSub>
            <m:r>
              <m:rPr>
                <m:sty m:val="p"/>
              </m:rPr>
              <w:rPr>
                <w:rFonts w:ascii="Cambria Math" w:hAnsi="Cambria Math" w:cs="Times New Roman"/>
                <w:sz w:val="18"/>
                <w:szCs w:val="18"/>
              </w:rPr>
              <m:t xml:space="preserve"> × </m:t>
            </m:r>
            <m:sSub>
              <m:sSubPr>
                <m:ctrlPr>
                  <w:rPr>
                    <w:rFonts w:ascii="Cambria Math" w:eastAsia="Times New Roman" w:hAnsi="Cambria Math" w:cs="Times New Roman"/>
                    <w:sz w:val="18"/>
                    <w:szCs w:val="18"/>
                    <w:lang w:val="zh-CN" w:eastAsia="zh-CN"/>
                  </w:rPr>
                </m:ctrlPr>
              </m:sSubPr>
              <m:e>
                <m:r>
                  <w:rPr>
                    <w:rFonts w:ascii="Cambria Math" w:hAnsi="Cambria Math" w:cs="Times New Roman"/>
                    <w:sz w:val="18"/>
                    <w:szCs w:val="18"/>
                  </w:rPr>
                  <m:t>R</m:t>
                </m:r>
              </m:e>
              <m:sub>
                <m:r>
                  <w:rPr>
                    <w:rFonts w:ascii="Cambria Math" w:hAnsi="Cambria Math" w:cs="Times New Roman"/>
                    <w:sz w:val="18"/>
                    <w:szCs w:val="18"/>
                  </w:rPr>
                  <m:t>f</m:t>
                </m:r>
              </m:sub>
            </m:sSub>
          </m:den>
        </m:f>
        <m:r>
          <m:rPr>
            <m:sty m:val="p"/>
          </m:rPr>
          <w:rPr>
            <w:rFonts w:ascii="Cambria Math" w:hAnsi="Cambria Math" w:cs="Times New Roman"/>
            <w:sz w:val="18"/>
            <w:szCs w:val="18"/>
          </w:rPr>
          <m:t xml:space="preserve"> = </m:t>
        </m:r>
        <m:f>
          <m:fPr>
            <m:ctrlPr>
              <w:rPr>
                <w:rFonts w:ascii="Cambria Math" w:eastAsia="Times New Roman" w:hAnsi="Cambria Math" w:cs="Times New Roman"/>
                <w:sz w:val="18"/>
                <w:szCs w:val="18"/>
                <w:lang w:val="zh-CN" w:eastAsia="zh-CN"/>
              </w:rPr>
            </m:ctrlPr>
          </m:fPr>
          <m:num>
            <m:d>
              <m:dPr>
                <m:ctrlPr>
                  <w:rPr>
                    <w:rFonts w:ascii="Cambria Math" w:eastAsia="Times New Roman" w:hAnsi="Cambria Math" w:cs="Times New Roman"/>
                    <w:sz w:val="18"/>
                    <w:szCs w:val="18"/>
                    <w:lang w:val="zh-CN" w:eastAsia="zh-CN"/>
                  </w:rPr>
                </m:ctrlPr>
              </m:dPr>
              <m:e>
                <m:r>
                  <m:rPr>
                    <m:sty m:val="p"/>
                  </m:rPr>
                  <w:rPr>
                    <w:rFonts w:ascii="Cambria Math" w:hAnsi="Cambria Math" w:cs="Times New Roman"/>
                    <w:sz w:val="18"/>
                    <w:szCs w:val="18"/>
                  </w:rPr>
                  <m:t xml:space="preserve">1 - </m:t>
                </m:r>
                <m:sSub>
                  <m:sSubPr>
                    <m:ctrlPr>
                      <w:rPr>
                        <w:rFonts w:ascii="Cambria Math" w:eastAsia="Times New Roman" w:hAnsi="Cambria Math" w:cs="Times New Roman"/>
                        <w:sz w:val="18"/>
                        <w:szCs w:val="18"/>
                        <w:lang w:val="zh-CN" w:eastAsia="zh-CN"/>
                      </w:rPr>
                    </m:ctrlPr>
                  </m:sSubPr>
                  <m:e>
                    <m:r>
                      <w:rPr>
                        <w:rFonts w:ascii="Cambria Math" w:hAnsi="Cambria Math" w:cs="Times New Roman"/>
                        <w:sz w:val="18"/>
                        <w:szCs w:val="18"/>
                      </w:rPr>
                      <m:t>C</m:t>
                    </m:r>
                  </m:e>
                  <m:sub>
                    <m:r>
                      <w:rPr>
                        <w:rFonts w:ascii="Cambria Math" w:hAnsi="Cambria Math" w:cs="Times New Roman"/>
                        <w:sz w:val="18"/>
                        <w:szCs w:val="18"/>
                      </w:rPr>
                      <m:t>e</m:t>
                    </m:r>
                  </m:sub>
                </m:sSub>
              </m:e>
            </m:d>
            <m:r>
              <m:rPr>
                <m:sty m:val="p"/>
              </m:rPr>
              <w:rPr>
                <w:rFonts w:ascii="Cambria Math" w:hAnsi="Cambria Math" w:cs="Times New Roman"/>
                <w:sz w:val="18"/>
                <w:szCs w:val="18"/>
              </w:rPr>
              <m:t xml:space="preserve"> × </m:t>
            </m:r>
            <m:d>
              <m:dPr>
                <m:begChr m:val="["/>
                <m:endChr m:val="]"/>
                <m:ctrlPr>
                  <w:rPr>
                    <w:rFonts w:ascii="Cambria Math" w:eastAsia="Times New Roman" w:hAnsi="Cambria Math" w:cs="Times New Roman"/>
                    <w:sz w:val="18"/>
                    <w:szCs w:val="18"/>
                    <w:lang w:val="zh-CN" w:eastAsia="zh-CN"/>
                  </w:rPr>
                </m:ctrlPr>
              </m:dPr>
              <m:e>
                <m:sSub>
                  <m:sSubPr>
                    <m:ctrlPr>
                      <w:rPr>
                        <w:rFonts w:ascii="Cambria Math" w:eastAsia="Times New Roman" w:hAnsi="Cambria Math" w:cs="Times New Roman"/>
                        <w:sz w:val="18"/>
                        <w:szCs w:val="18"/>
                        <w:lang w:val="zh-CN" w:eastAsia="zh-CN"/>
                      </w:rPr>
                    </m:ctrlPr>
                  </m:sSubPr>
                  <m:e>
                    <m:r>
                      <w:rPr>
                        <w:rFonts w:ascii="Cambria Math" w:hAnsi="Cambria Math" w:cs="Times New Roman"/>
                        <w:sz w:val="18"/>
                        <w:szCs w:val="18"/>
                      </w:rPr>
                      <m:t>P</m:t>
                    </m:r>
                  </m:e>
                  <m:sub>
                    <m:r>
                      <w:rPr>
                        <w:rFonts w:ascii="Cambria Math" w:hAnsi="Cambria Math" w:cs="Times New Roman"/>
                        <w:sz w:val="18"/>
                        <w:szCs w:val="18"/>
                      </w:rPr>
                      <m:t>r</m:t>
                    </m:r>
                  </m:sub>
                </m:sSub>
                <m:r>
                  <m:rPr>
                    <m:sty m:val="p"/>
                  </m:rPr>
                  <w:rPr>
                    <w:rFonts w:ascii="Cambria Math" w:hAnsi="Cambria Math" w:cs="Times New Roman"/>
                    <w:sz w:val="18"/>
                    <w:szCs w:val="18"/>
                  </w:rPr>
                  <m:t xml:space="preserve"> × </m:t>
                </m:r>
                <m:d>
                  <m:dPr>
                    <m:ctrlPr>
                      <w:rPr>
                        <w:rFonts w:ascii="Cambria Math" w:eastAsia="Times New Roman" w:hAnsi="Cambria Math" w:cs="Times New Roman"/>
                        <w:sz w:val="18"/>
                        <w:szCs w:val="18"/>
                        <w:lang w:val="zh-CN" w:eastAsia="zh-CN"/>
                      </w:rPr>
                    </m:ctrlPr>
                  </m:dPr>
                  <m:e>
                    <m:r>
                      <m:rPr>
                        <m:sty m:val="p"/>
                      </m:rPr>
                      <w:rPr>
                        <w:rFonts w:ascii="Cambria Math" w:hAnsi="Cambria Math" w:cs="Times New Roman"/>
                        <w:sz w:val="18"/>
                        <w:szCs w:val="18"/>
                      </w:rPr>
                      <m:t xml:space="preserve">1 - </m:t>
                    </m:r>
                    <m:sSub>
                      <m:sSubPr>
                        <m:ctrlPr>
                          <w:rPr>
                            <w:rFonts w:ascii="Cambria Math" w:eastAsia="Times New Roman" w:hAnsi="Cambria Math" w:cs="Times New Roman"/>
                            <w:sz w:val="18"/>
                            <w:szCs w:val="18"/>
                            <w:lang w:val="zh-CN" w:eastAsia="zh-CN"/>
                          </w:rPr>
                        </m:ctrlPr>
                      </m:sSubPr>
                      <m:e>
                        <m:r>
                          <w:rPr>
                            <w:rFonts w:ascii="Cambria Math" w:hAnsi="Cambria Math" w:cs="Times New Roman"/>
                            <w:sz w:val="18"/>
                            <w:szCs w:val="18"/>
                          </w:rPr>
                          <m:t>C</m:t>
                        </m:r>
                      </m:e>
                      <m:sub>
                        <m:r>
                          <w:rPr>
                            <w:rFonts w:ascii="Cambria Math" w:hAnsi="Cambria Math" w:cs="Times New Roman"/>
                            <w:sz w:val="18"/>
                            <w:szCs w:val="18"/>
                          </w:rPr>
                          <m:t>r</m:t>
                        </m:r>
                      </m:sub>
                    </m:sSub>
                  </m:e>
                </m:d>
                <m:r>
                  <m:rPr>
                    <m:sty m:val="p"/>
                  </m:rPr>
                  <w:rPr>
                    <w:rFonts w:ascii="Cambria Math" w:hAnsi="Cambria Math" w:cs="Times New Roman"/>
                    <w:sz w:val="18"/>
                    <w:szCs w:val="18"/>
                  </w:rPr>
                  <m:t xml:space="preserve"> + </m:t>
                </m:r>
                <m:sSub>
                  <m:sSubPr>
                    <m:ctrlPr>
                      <w:rPr>
                        <w:rFonts w:ascii="Cambria Math" w:eastAsia="Times New Roman" w:hAnsi="Cambria Math" w:cs="Times New Roman"/>
                        <w:sz w:val="18"/>
                        <w:szCs w:val="18"/>
                        <w:lang w:val="zh-CN" w:eastAsia="zh-CN"/>
                      </w:rPr>
                    </m:ctrlPr>
                  </m:sSubPr>
                  <m:e>
                    <m:r>
                      <w:rPr>
                        <w:rFonts w:ascii="Cambria Math" w:hAnsi="Cambria Math" w:cs="Times New Roman"/>
                        <w:sz w:val="18"/>
                        <w:szCs w:val="18"/>
                      </w:rPr>
                      <m:t>I</m:t>
                    </m:r>
                  </m:e>
                  <m:sub>
                    <m:r>
                      <w:rPr>
                        <w:rFonts w:ascii="Cambria Math" w:hAnsi="Cambria Math" w:cs="Times New Roman"/>
                        <w:sz w:val="18"/>
                        <w:szCs w:val="18"/>
                      </w:rPr>
                      <m:t>r</m:t>
                    </m:r>
                  </m:sub>
                </m:sSub>
              </m:e>
            </m:d>
          </m:num>
          <m:den>
            <m:sSub>
              <m:sSubPr>
                <m:ctrlPr>
                  <w:rPr>
                    <w:rFonts w:ascii="Cambria Math" w:eastAsia="Times New Roman" w:hAnsi="Cambria Math" w:cs="Times New Roman"/>
                    <w:sz w:val="18"/>
                    <w:szCs w:val="18"/>
                    <w:lang w:val="zh-CN" w:eastAsia="zh-CN"/>
                  </w:rPr>
                </m:ctrlPr>
              </m:sSubPr>
              <m:e>
                <m:r>
                  <w:rPr>
                    <w:rFonts w:ascii="Cambria Math" w:hAnsi="Cambria Math" w:cs="Times New Roman"/>
                    <w:sz w:val="18"/>
                    <w:szCs w:val="18"/>
                  </w:rPr>
                  <m:t>V</m:t>
                </m:r>
              </m:e>
              <m:sub>
                <m:r>
                  <w:rPr>
                    <w:rFonts w:ascii="Cambria Math" w:hAnsi="Cambria Math" w:cs="Times New Roman"/>
                    <w:sz w:val="18"/>
                    <w:szCs w:val="18"/>
                  </w:rPr>
                  <m:t>wc</m:t>
                </m:r>
              </m:sub>
            </m:sSub>
            <m:r>
              <m:rPr>
                <m:sty m:val="p"/>
              </m:rPr>
              <w:rPr>
                <w:rFonts w:ascii="Cambria Math" w:hAnsi="Cambria Math" w:cs="Times New Roman"/>
                <w:sz w:val="18"/>
                <w:szCs w:val="18"/>
              </w:rPr>
              <m:t xml:space="preserve"> × </m:t>
            </m:r>
            <m:sSub>
              <m:sSubPr>
                <m:ctrlPr>
                  <w:rPr>
                    <w:rFonts w:ascii="Cambria Math" w:eastAsia="Times New Roman" w:hAnsi="Cambria Math" w:cs="Times New Roman"/>
                    <w:sz w:val="18"/>
                    <w:szCs w:val="18"/>
                    <w:lang w:val="zh-CN" w:eastAsia="zh-CN"/>
                  </w:rPr>
                </m:ctrlPr>
              </m:sSubPr>
              <m:e>
                <m:r>
                  <w:rPr>
                    <w:rFonts w:ascii="Cambria Math" w:hAnsi="Cambria Math" w:cs="Times New Roman"/>
                    <w:sz w:val="18"/>
                    <w:szCs w:val="18"/>
                  </w:rPr>
                  <m:t>T</m:t>
                </m:r>
              </m:e>
              <m:sub>
                <m:r>
                  <m:rPr>
                    <m:sty m:val="p"/>
                  </m:rPr>
                  <w:rPr>
                    <w:rFonts w:ascii="Cambria Math" w:hAnsi="Cambria Math" w:cs="Times New Roman"/>
                    <w:sz w:val="18"/>
                    <w:szCs w:val="18"/>
                  </w:rPr>
                  <m:t>0</m:t>
                </m:r>
              </m:sub>
            </m:sSub>
            <m:r>
              <m:rPr>
                <m:sty m:val="p"/>
              </m:rPr>
              <w:rPr>
                <w:rFonts w:ascii="Cambria Math" w:hAnsi="Cambria Math" w:cs="Times New Roman"/>
                <w:sz w:val="18"/>
                <w:szCs w:val="18"/>
              </w:rPr>
              <m:t xml:space="preserve"> × </m:t>
            </m:r>
            <m:sSub>
              <m:sSubPr>
                <m:ctrlPr>
                  <w:rPr>
                    <w:rFonts w:ascii="Cambria Math" w:eastAsia="Times New Roman" w:hAnsi="Cambria Math" w:cs="Times New Roman"/>
                    <w:sz w:val="18"/>
                    <w:szCs w:val="18"/>
                    <w:lang w:val="zh-CN" w:eastAsia="zh-CN"/>
                  </w:rPr>
                </m:ctrlPr>
              </m:sSubPr>
              <m:e>
                <m:r>
                  <w:rPr>
                    <w:rFonts w:ascii="Cambria Math" w:hAnsi="Cambria Math" w:cs="Times New Roman"/>
                    <w:sz w:val="18"/>
                    <w:szCs w:val="18"/>
                  </w:rPr>
                  <m:t>R</m:t>
                </m:r>
              </m:e>
              <m:sub>
                <m:r>
                  <w:rPr>
                    <w:rFonts w:ascii="Cambria Math" w:hAnsi="Cambria Math" w:cs="Times New Roman"/>
                    <w:sz w:val="18"/>
                    <w:szCs w:val="18"/>
                  </w:rPr>
                  <m:t>f</m:t>
                </m:r>
              </m:sub>
            </m:sSub>
          </m:den>
        </m:f>
      </m:oMath>
      <w:r w:rsidR="003C05E7" w:rsidRPr="003C05E7">
        <w:rPr>
          <w:rFonts w:ascii="Times New Roman" w:hAnsi="Times New Roman" w:cs="Times New Roman"/>
          <w:sz w:val="20"/>
          <w:szCs w:val="20"/>
        </w:rPr>
        <w:tab/>
        <w:t>(4)</w:t>
      </w:r>
    </w:p>
    <w:p w14:paraId="5B452D40"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where I = infiltration rate (m/</w:t>
      </w:r>
      <w:proofErr w:type="spellStart"/>
      <w:r w:rsidRPr="003C05E7">
        <w:rPr>
          <w:rFonts w:ascii="Times New Roman" w:hAnsi="Times New Roman" w:cs="Times New Roman"/>
          <w:sz w:val="20"/>
          <w:szCs w:val="20"/>
        </w:rPr>
        <w:t>yr</w:t>
      </w:r>
      <w:proofErr w:type="spellEnd"/>
      <w:r w:rsidRPr="003C05E7">
        <w:rPr>
          <w:rFonts w:ascii="Times New Roman" w:hAnsi="Times New Roman" w:cs="Times New Roman"/>
          <w:sz w:val="20"/>
          <w:szCs w:val="20"/>
        </w:rPr>
        <w:t xml:space="preserve">); </w:t>
      </w:r>
      <m:oMath>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V</m:t>
            </m:r>
          </m:e>
          <m:sub>
            <m:r>
              <w:rPr>
                <w:rFonts w:ascii="Cambria Math" w:hAnsi="Cambria Math" w:cs="Times New Roman"/>
                <w:sz w:val="20"/>
                <w:szCs w:val="20"/>
              </w:rPr>
              <m:t>wc</m:t>
            </m:r>
          </m:sub>
        </m:sSub>
        <m:r>
          <m:rPr>
            <m:sty m:val="p"/>
          </m:rPr>
          <w:rPr>
            <w:rFonts w:ascii="Cambria Math" w:hAnsi="Cambria Math" w:cs="Times New Roman"/>
            <w:sz w:val="20"/>
            <w:szCs w:val="20"/>
          </w:rPr>
          <m:t xml:space="preserve"> </m:t>
        </m:r>
      </m:oMath>
      <w:r w:rsidRPr="003C05E7">
        <w:rPr>
          <w:rFonts w:ascii="Times New Roman" w:hAnsi="Times New Roman" w:cs="Times New Roman"/>
          <w:sz w:val="20"/>
          <w:szCs w:val="20"/>
        </w:rPr>
        <w:t xml:space="preserve"> = volumetric water content of the contaminated zone (= </w:t>
      </w:r>
      <m:oMath>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V</m:t>
            </m:r>
          </m:e>
          <m:sub>
            <m:r>
              <w:rPr>
                <w:rFonts w:ascii="Cambria Math" w:hAnsi="Cambria Math" w:cs="Times New Roman"/>
                <w:sz w:val="20"/>
                <w:szCs w:val="20"/>
              </w:rPr>
              <m:t>wc</m:t>
            </m:r>
          </m:sub>
        </m:sSub>
        <m:r>
          <m:rPr>
            <m:sty m:val="p"/>
          </m:rPr>
          <w:rPr>
            <w:rFonts w:ascii="Cambria Math" w:hAnsi="Cambria Math" w:cs="Times New Roman"/>
            <w:sz w:val="20"/>
            <w:szCs w:val="20"/>
          </w:rPr>
          <m:t>s</m:t>
        </m:r>
      </m:oMath>
      <w:r w:rsidRPr="003C05E7">
        <w:rPr>
          <w:rFonts w:ascii="Times New Roman" w:hAnsi="Times New Roman" w:cs="Times New Roman"/>
          <w:sz w:val="20"/>
          <w:szCs w:val="20"/>
        </w:rPr>
        <w:t xml:space="preserve"> × R</w:t>
      </w:r>
      <w:r w:rsidRPr="003C05E7">
        <w:rPr>
          <w:rFonts w:ascii="Times New Roman" w:hAnsi="Times New Roman" w:cs="Times New Roman"/>
          <w:sz w:val="20"/>
          <w:szCs w:val="20"/>
          <w:vertAlign w:val="subscript"/>
        </w:rPr>
        <w:t>s</w:t>
      </w:r>
      <w:r w:rsidRPr="003C05E7">
        <w:rPr>
          <w:rFonts w:ascii="Times New Roman" w:hAnsi="Times New Roman" w:cs="Times New Roman"/>
          <w:sz w:val="20"/>
          <w:szCs w:val="20"/>
        </w:rPr>
        <w:t xml:space="preserve">); </w:t>
      </w:r>
      <m:oMath>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V</m:t>
            </m:r>
          </m:e>
          <m:sub>
            <m:r>
              <w:rPr>
                <w:rFonts w:ascii="Cambria Math" w:hAnsi="Cambria Math" w:cs="Times New Roman"/>
                <w:sz w:val="20"/>
                <w:szCs w:val="20"/>
              </w:rPr>
              <m:t>wc</m:t>
            </m:r>
          </m:sub>
        </m:sSub>
        <m:r>
          <m:rPr>
            <m:sty m:val="p"/>
          </m:rPr>
          <w:rPr>
            <w:rFonts w:ascii="Cambria Math" w:hAnsi="Cambria Math" w:cs="Times New Roman"/>
            <w:sz w:val="20"/>
            <w:szCs w:val="20"/>
          </w:rPr>
          <m:t>s</m:t>
        </m:r>
      </m:oMath>
      <w:r w:rsidRPr="003C05E7">
        <w:rPr>
          <w:rFonts w:ascii="Times New Roman" w:hAnsi="Times New Roman" w:cs="Times New Roman"/>
          <w:sz w:val="20"/>
          <w:szCs w:val="20"/>
        </w:rPr>
        <w:t xml:space="preserve"> = saturated water content (= total porosity </w:t>
      </w:r>
      <m:oMath>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P</m:t>
            </m:r>
          </m:e>
          <m:sub>
            <m:r>
              <w:rPr>
                <w:rFonts w:ascii="Cambria Math" w:hAnsi="Cambria Math" w:cs="Times New Roman"/>
                <w:sz w:val="20"/>
                <w:szCs w:val="20"/>
              </w:rPr>
              <m:t>t</m:t>
            </m:r>
          </m:sub>
        </m:sSub>
      </m:oMath>
      <w:r w:rsidRPr="003C05E7">
        <w:rPr>
          <w:rFonts w:ascii="Times New Roman" w:hAnsi="Times New Roman" w:cs="Times New Roman"/>
          <w:sz w:val="20"/>
          <w:szCs w:val="20"/>
        </w:rPr>
        <w:t xml:space="preserve">); </w:t>
      </w:r>
      <m:oMath>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 xml:space="preserve"> T</m:t>
            </m:r>
          </m:e>
          <m:sub>
            <m:r>
              <w:rPr>
                <w:rFonts w:ascii="Cambria Math" w:hAnsi="Cambria Math" w:cs="Times New Roman"/>
                <w:sz w:val="20"/>
                <w:szCs w:val="20"/>
              </w:rPr>
              <m:t>0</m:t>
            </m:r>
          </m:sub>
        </m:sSub>
      </m:oMath>
      <w:r w:rsidRPr="003C05E7">
        <w:rPr>
          <w:rFonts w:ascii="Times New Roman" w:hAnsi="Times New Roman" w:cs="Times New Roman"/>
          <w:sz w:val="20"/>
          <w:szCs w:val="20"/>
        </w:rPr>
        <w:t xml:space="preserve">= initial thickness of the contaminated zone (m); </w:t>
      </w:r>
      <m:oMath>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R</m:t>
            </m:r>
          </m:e>
          <m:sub>
            <m:r>
              <w:rPr>
                <w:rFonts w:ascii="Cambria Math" w:hAnsi="Cambria Math" w:cs="Times New Roman"/>
                <w:sz w:val="20"/>
                <w:szCs w:val="20"/>
              </w:rPr>
              <m:t>f</m:t>
            </m:r>
          </m:sub>
        </m:sSub>
      </m:oMath>
      <w:r w:rsidRPr="003C05E7">
        <w:rPr>
          <w:rFonts w:ascii="Times New Roman" w:hAnsi="Times New Roman" w:cs="Times New Roman"/>
          <w:sz w:val="20"/>
          <w:szCs w:val="20"/>
        </w:rPr>
        <w:t xml:space="preserve"> = retardation factor for radionuclide i; </w:t>
      </w:r>
      <m:oMath>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C</m:t>
            </m:r>
          </m:e>
          <m:sub>
            <m:r>
              <w:rPr>
                <w:rFonts w:ascii="Cambria Math" w:hAnsi="Cambria Math" w:cs="Times New Roman"/>
                <w:sz w:val="20"/>
                <w:szCs w:val="20"/>
              </w:rPr>
              <m:t>e</m:t>
            </m:r>
          </m:sub>
        </m:sSub>
      </m:oMath>
      <w:r w:rsidRPr="003C05E7">
        <w:rPr>
          <w:rFonts w:ascii="Times New Roman" w:hAnsi="Times New Roman" w:cs="Times New Roman"/>
          <w:sz w:val="20"/>
          <w:szCs w:val="20"/>
        </w:rPr>
        <w:t xml:space="preserve">= evapotranspiration coefficient; </w:t>
      </w:r>
      <m:oMath>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C</m:t>
            </m:r>
          </m:e>
          <m:sub>
            <m:r>
              <w:rPr>
                <w:rFonts w:ascii="Cambria Math" w:hAnsi="Cambria Math" w:cs="Times New Roman"/>
                <w:sz w:val="20"/>
                <w:szCs w:val="20"/>
              </w:rPr>
              <m:t>r</m:t>
            </m:r>
          </m:sub>
        </m:sSub>
      </m:oMath>
      <w:r w:rsidRPr="003C05E7">
        <w:rPr>
          <w:rFonts w:ascii="Times New Roman" w:hAnsi="Times New Roman" w:cs="Times New Roman"/>
          <w:sz w:val="20"/>
          <w:szCs w:val="20"/>
        </w:rPr>
        <w:t xml:space="preserve"> = runoff coefficient; </w:t>
      </w:r>
      <m:oMath>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P</m:t>
            </m:r>
          </m:e>
          <m:sub>
            <m:r>
              <w:rPr>
                <w:rFonts w:ascii="Cambria Math" w:hAnsi="Cambria Math" w:cs="Times New Roman"/>
                <w:sz w:val="20"/>
                <w:szCs w:val="20"/>
              </w:rPr>
              <m:t>r</m:t>
            </m:r>
          </m:sub>
        </m:sSub>
      </m:oMath>
      <w:r w:rsidRPr="003C05E7">
        <w:rPr>
          <w:rFonts w:ascii="Times New Roman" w:hAnsi="Times New Roman" w:cs="Times New Roman"/>
          <w:sz w:val="20"/>
          <w:szCs w:val="20"/>
        </w:rPr>
        <w:t xml:space="preserve"> = precipitation rate (m/yr); </w:t>
      </w:r>
      <m:oMath>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I</m:t>
            </m:r>
          </m:e>
          <m:sub>
            <m:r>
              <w:rPr>
                <w:rFonts w:ascii="Cambria Math" w:hAnsi="Cambria Math" w:cs="Times New Roman"/>
                <w:sz w:val="20"/>
                <w:szCs w:val="20"/>
              </w:rPr>
              <m:t>r</m:t>
            </m:r>
          </m:sub>
        </m:sSub>
      </m:oMath>
      <w:r w:rsidRPr="003C05E7">
        <w:rPr>
          <w:rFonts w:ascii="Times New Roman" w:hAnsi="Times New Roman" w:cs="Times New Roman"/>
          <w:sz w:val="20"/>
          <w:szCs w:val="20"/>
        </w:rPr>
        <w:t xml:space="preserve"> = irrigation rate (m/yr). </w:t>
      </w:r>
    </w:p>
    <w:p w14:paraId="07E5C55F"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When the medium is saturated, the saturation ratio of the contaminated zone Rs equals unity (Rs = 1). Under unsaturated infiltration conditions, the saturation ratio is a function of the infiltration rate, the saturated hydraulic </w:t>
      </w:r>
      <w:r w:rsidRPr="003C05E7">
        <w:rPr>
          <w:rFonts w:ascii="Times New Roman" w:hAnsi="Times New Roman" w:cs="Times New Roman"/>
          <w:sz w:val="20"/>
          <w:szCs w:val="20"/>
        </w:rPr>
        <w:t xml:space="preserve">conductivity, and soil texture. The saturation ratio can be estimated using Equation 5 (Clapp &amp; Hornberger, 1978; </w:t>
      </w:r>
      <w:proofErr w:type="spellStart"/>
      <w:r w:rsidRPr="003C05E7">
        <w:rPr>
          <w:rFonts w:ascii="Times New Roman" w:hAnsi="Times New Roman" w:cs="Times New Roman"/>
          <w:sz w:val="20"/>
          <w:szCs w:val="20"/>
        </w:rPr>
        <w:t>Njinga</w:t>
      </w:r>
      <w:proofErr w:type="spellEnd"/>
      <w:r w:rsidRPr="003C05E7">
        <w:rPr>
          <w:rFonts w:ascii="Times New Roman" w:hAnsi="Times New Roman" w:cs="Times New Roman"/>
          <w:sz w:val="20"/>
          <w:szCs w:val="20"/>
        </w:rPr>
        <w:t xml:space="preserve"> &amp; </w:t>
      </w:r>
      <w:proofErr w:type="spellStart"/>
      <w:r w:rsidRPr="003C05E7">
        <w:rPr>
          <w:rFonts w:ascii="Times New Roman" w:hAnsi="Times New Roman" w:cs="Times New Roman"/>
          <w:sz w:val="20"/>
          <w:szCs w:val="20"/>
        </w:rPr>
        <w:t>Tshivhase</w:t>
      </w:r>
      <w:proofErr w:type="spellEnd"/>
      <w:r w:rsidRPr="003C05E7">
        <w:rPr>
          <w:rFonts w:ascii="Times New Roman" w:hAnsi="Times New Roman" w:cs="Times New Roman"/>
          <w:sz w:val="20"/>
          <w:szCs w:val="20"/>
        </w:rPr>
        <w:t>, 2018),</w:t>
      </w:r>
    </w:p>
    <w:p w14:paraId="14D18E2E" w14:textId="426D86E4" w:rsidR="003C05E7" w:rsidRPr="003C05E7" w:rsidRDefault="00724412" w:rsidP="003C05E7">
      <w:pPr>
        <w:spacing w:after="0" w:line="240" w:lineRule="auto"/>
        <w:jc w:val="both"/>
        <w:rPr>
          <w:rFonts w:ascii="Times New Roman" w:hAnsi="Times New Roman" w:cs="Times New Roman"/>
          <w:sz w:val="20"/>
          <w:szCs w:val="20"/>
        </w:rPr>
      </w:pPr>
      <m:oMath>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R</m:t>
            </m:r>
          </m:e>
          <m:sub>
            <m:r>
              <w:rPr>
                <w:rFonts w:ascii="Cambria Math" w:hAnsi="Cambria Math" w:cs="Times New Roman"/>
                <w:sz w:val="20"/>
                <w:szCs w:val="20"/>
              </w:rPr>
              <m:t>s</m:t>
            </m:r>
          </m:sub>
        </m:sSub>
        <m:r>
          <m:rPr>
            <m:sty m:val="p"/>
          </m:rPr>
          <w:rPr>
            <w:rFonts w:ascii="Cambria Math" w:hAnsi="Cambria Math" w:cs="Times New Roman"/>
            <w:sz w:val="20"/>
            <w:szCs w:val="20"/>
          </w:rPr>
          <m:t xml:space="preserve"> = </m:t>
        </m:r>
        <m:sSup>
          <m:sSupPr>
            <m:ctrlPr>
              <w:rPr>
                <w:rFonts w:ascii="Cambria Math" w:eastAsia="Times New Roman" w:hAnsi="Cambria Math" w:cs="Times New Roman"/>
                <w:sz w:val="20"/>
                <w:szCs w:val="20"/>
                <w:lang w:val="zh-CN" w:eastAsia="zh-CN"/>
              </w:rPr>
            </m:ctrlPr>
          </m:sSupPr>
          <m:e>
            <m:d>
              <m:dPr>
                <m:ctrlPr>
                  <w:rPr>
                    <w:rFonts w:ascii="Cambria Math" w:eastAsia="Times New Roman" w:hAnsi="Cambria Math" w:cs="Times New Roman"/>
                    <w:sz w:val="20"/>
                    <w:szCs w:val="20"/>
                    <w:lang w:val="zh-CN" w:eastAsia="zh-CN"/>
                  </w:rPr>
                </m:ctrlPr>
              </m:dPr>
              <m:e>
                <m:f>
                  <m:fPr>
                    <m:ctrlPr>
                      <w:rPr>
                        <w:rFonts w:ascii="Cambria Math" w:eastAsia="Times New Roman" w:hAnsi="Cambria Math" w:cs="Times New Roman"/>
                        <w:sz w:val="20"/>
                        <w:szCs w:val="20"/>
                        <w:lang w:val="zh-CN" w:eastAsia="zh-CN"/>
                      </w:rPr>
                    </m:ctrlPr>
                  </m:fPr>
                  <m:num>
                    <m:r>
                      <w:rPr>
                        <w:rFonts w:ascii="Cambria Math" w:hAnsi="Cambria Math" w:cs="Times New Roman"/>
                        <w:sz w:val="20"/>
                        <w:szCs w:val="20"/>
                      </w:rPr>
                      <m:t>I</m:t>
                    </m:r>
                  </m:num>
                  <m:den>
                    <m:sSubSup>
                      <m:sSubSupPr>
                        <m:ctrlPr>
                          <w:rPr>
                            <w:rFonts w:ascii="Cambria Math" w:eastAsia="Times New Roman" w:hAnsi="Cambria Math" w:cs="Times New Roman"/>
                            <w:i/>
                            <w:sz w:val="20"/>
                            <w:szCs w:val="20"/>
                            <w:lang w:val="zh-CN" w:eastAsia="zh-CN"/>
                          </w:rPr>
                        </m:ctrlPr>
                      </m:sSubSupPr>
                      <m:e>
                        <m:r>
                          <w:rPr>
                            <w:rFonts w:ascii="Cambria Math" w:hAnsi="Cambria Math" w:cs="Times New Roman"/>
                            <w:sz w:val="20"/>
                            <w:szCs w:val="20"/>
                          </w:rPr>
                          <m:t>H</m:t>
                        </m:r>
                      </m:e>
                      <m:sub>
                        <m:r>
                          <w:rPr>
                            <w:rFonts w:ascii="Cambria Math" w:hAnsi="Cambria Math" w:cs="Times New Roman"/>
                            <w:sz w:val="20"/>
                            <w:szCs w:val="20"/>
                          </w:rPr>
                          <m:t>C</m:t>
                        </m:r>
                      </m:sub>
                      <m:sup>
                        <m:r>
                          <w:rPr>
                            <w:rFonts w:ascii="Cambria Math" w:hAnsi="Cambria Math" w:cs="Times New Roman"/>
                            <w:sz w:val="20"/>
                            <w:szCs w:val="20"/>
                          </w:rPr>
                          <m:t>S</m:t>
                        </m:r>
                      </m:sup>
                    </m:sSubSup>
                    <m:r>
                      <m:rPr>
                        <m:sty m:val="p"/>
                      </m:rPr>
                      <w:rPr>
                        <w:rFonts w:ascii="Cambria Math" w:hAnsi="Cambria Math" w:cs="Times New Roman"/>
                        <w:sz w:val="20"/>
                        <w:szCs w:val="20"/>
                      </w:rPr>
                      <m:t xml:space="preserve"> </m:t>
                    </m:r>
                  </m:den>
                </m:f>
              </m:e>
            </m:d>
          </m:e>
          <m:sup>
            <m:f>
              <m:fPr>
                <m:ctrlPr>
                  <w:rPr>
                    <w:rFonts w:ascii="Cambria Math" w:eastAsia="Times New Roman" w:hAnsi="Cambria Math" w:cs="Times New Roman"/>
                    <w:sz w:val="20"/>
                    <w:szCs w:val="20"/>
                    <w:lang w:val="zh-CN" w:eastAsia="zh-CN"/>
                  </w:rPr>
                </m:ctrlPr>
              </m:fPr>
              <m:num>
                <m:r>
                  <m:rPr>
                    <m:sty m:val="p"/>
                  </m:rPr>
                  <w:rPr>
                    <w:rFonts w:ascii="Cambria Math" w:hAnsi="Cambria Math" w:cs="Times New Roman"/>
                    <w:sz w:val="20"/>
                    <w:szCs w:val="20"/>
                  </w:rPr>
                  <m:t>1</m:t>
                </m:r>
              </m:num>
              <m:den>
                <m:r>
                  <m:rPr>
                    <m:sty m:val="p"/>
                  </m:rPr>
                  <w:rPr>
                    <w:rFonts w:ascii="Cambria Math" w:hAnsi="Cambria Math" w:cs="Times New Roman"/>
                    <w:sz w:val="20"/>
                    <w:szCs w:val="20"/>
                  </w:rPr>
                  <m:t>2</m:t>
                </m:r>
                <m:r>
                  <w:rPr>
                    <w:rFonts w:ascii="Cambria Math" w:hAnsi="Cambria Math" w:cs="Times New Roman"/>
                    <w:sz w:val="20"/>
                    <w:szCs w:val="20"/>
                  </w:rPr>
                  <m:t>b</m:t>
                </m:r>
                <m:r>
                  <m:rPr>
                    <m:sty m:val="p"/>
                  </m:rPr>
                  <w:rPr>
                    <w:rFonts w:ascii="Cambria Math" w:hAnsi="Cambria Math" w:cs="Times New Roman"/>
                    <w:sz w:val="20"/>
                    <w:szCs w:val="20"/>
                  </w:rPr>
                  <m:t>+3</m:t>
                </m:r>
              </m:den>
            </m:f>
          </m:sup>
        </m:sSup>
      </m:oMath>
      <w:r w:rsidR="003C05E7" w:rsidRPr="003C05E7">
        <w:rPr>
          <w:rFonts w:ascii="Times New Roman" w:hAnsi="Times New Roman" w:cs="Times New Roman"/>
          <w:sz w:val="20"/>
          <w:szCs w:val="20"/>
        </w:rPr>
        <w:tab/>
      </w:r>
      <w:r w:rsidR="003C05E7" w:rsidRPr="003C05E7">
        <w:rPr>
          <w:rFonts w:ascii="Times New Roman" w:hAnsi="Times New Roman" w:cs="Times New Roman"/>
          <w:sz w:val="20"/>
          <w:szCs w:val="20"/>
        </w:rPr>
        <w:tab/>
      </w:r>
      <w:r w:rsidR="003C05E7" w:rsidRPr="003C05E7">
        <w:rPr>
          <w:rFonts w:ascii="Times New Roman" w:hAnsi="Times New Roman" w:cs="Times New Roman"/>
          <w:sz w:val="20"/>
          <w:szCs w:val="20"/>
        </w:rPr>
        <w:tab/>
      </w:r>
      <w:r w:rsidR="003C05E7" w:rsidRPr="003C05E7">
        <w:rPr>
          <w:rFonts w:ascii="Times New Roman" w:hAnsi="Times New Roman" w:cs="Times New Roman"/>
          <w:sz w:val="20"/>
          <w:szCs w:val="20"/>
        </w:rPr>
        <w:tab/>
        <w:t>(5)</w:t>
      </w:r>
    </w:p>
    <w:p w14:paraId="464824D2"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where </w:t>
      </w:r>
      <m:oMath>
        <m:sSubSup>
          <m:sSubSupPr>
            <m:ctrlPr>
              <w:rPr>
                <w:rFonts w:ascii="Cambria Math" w:eastAsia="Times New Roman" w:hAnsi="Cambria Math" w:cs="Times New Roman"/>
                <w:i/>
                <w:sz w:val="20"/>
                <w:szCs w:val="20"/>
                <w:lang w:val="zh-CN" w:eastAsia="zh-CN"/>
              </w:rPr>
            </m:ctrlPr>
          </m:sSubSupPr>
          <m:e>
            <m:r>
              <w:rPr>
                <w:rFonts w:ascii="Cambria Math" w:hAnsi="Cambria Math" w:cs="Times New Roman"/>
                <w:sz w:val="20"/>
                <w:szCs w:val="20"/>
              </w:rPr>
              <m:t>H</m:t>
            </m:r>
          </m:e>
          <m:sub>
            <m:r>
              <w:rPr>
                <w:rFonts w:ascii="Cambria Math" w:hAnsi="Cambria Math" w:cs="Times New Roman"/>
                <w:sz w:val="20"/>
                <w:szCs w:val="20"/>
              </w:rPr>
              <m:t>C</m:t>
            </m:r>
          </m:sub>
          <m:sup>
            <m:r>
              <w:rPr>
                <w:rFonts w:ascii="Cambria Math" w:hAnsi="Cambria Math" w:cs="Times New Roman"/>
                <w:sz w:val="20"/>
                <w:szCs w:val="20"/>
              </w:rPr>
              <m:t>S</m:t>
            </m:r>
          </m:sup>
        </m:sSubSup>
      </m:oMath>
      <w:r w:rsidRPr="003C05E7">
        <w:rPr>
          <w:rFonts w:ascii="Times New Roman" w:hAnsi="Times New Roman" w:cs="Times New Roman"/>
          <w:sz w:val="20"/>
          <w:szCs w:val="20"/>
        </w:rPr>
        <w:t xml:space="preserve"> = saturated hydraulic conductivity (</w:t>
      </w:r>
      <m:oMath>
        <m:sSup>
          <m:sSupPr>
            <m:ctrlPr>
              <w:rPr>
                <w:rFonts w:ascii="Cambria Math" w:eastAsia="Times New Roman" w:hAnsi="Cambria Math" w:cs="Times New Roman"/>
                <w:i/>
                <w:sz w:val="20"/>
                <w:szCs w:val="20"/>
                <w:lang w:val="zh-CN" w:eastAsia="zh-CN"/>
              </w:rPr>
            </m:ctrlPr>
          </m:sSupPr>
          <m:e>
            <m:r>
              <w:rPr>
                <w:rFonts w:ascii="Cambria Math" w:hAnsi="Cambria Math" w:cs="Times New Roman"/>
                <w:sz w:val="20"/>
                <w:szCs w:val="20"/>
              </w:rPr>
              <m:t>myr</m:t>
            </m:r>
          </m:e>
          <m:sup>
            <m:r>
              <w:rPr>
                <w:rFonts w:ascii="Cambria Math" w:hAnsi="Cambria Math" w:cs="Times New Roman"/>
                <w:sz w:val="20"/>
                <w:szCs w:val="20"/>
              </w:rPr>
              <m:t>-1</m:t>
            </m:r>
          </m:sup>
        </m:sSup>
      </m:oMath>
      <w:r w:rsidRPr="003C05E7">
        <w:rPr>
          <w:rFonts w:ascii="Times New Roman" w:hAnsi="Times New Roman" w:cs="Times New Roman"/>
          <w:sz w:val="20"/>
          <w:szCs w:val="20"/>
        </w:rPr>
        <w:t xml:space="preserve">); </w:t>
      </w:r>
      <m:oMath>
        <m:r>
          <w:rPr>
            <w:rFonts w:ascii="Cambria Math" w:hAnsi="Cambria Math" w:cs="Times New Roman"/>
            <w:sz w:val="20"/>
            <w:szCs w:val="20"/>
          </w:rPr>
          <m:t>b</m:t>
        </m:r>
      </m:oMath>
      <w:r w:rsidRPr="003C05E7">
        <w:rPr>
          <w:rFonts w:ascii="Times New Roman" w:hAnsi="Times New Roman" w:cs="Times New Roman"/>
          <w:sz w:val="20"/>
          <w:szCs w:val="20"/>
        </w:rPr>
        <w:t xml:space="preserve"> = soil-specific exponential parameter.</w:t>
      </w:r>
    </w:p>
    <w:p w14:paraId="58B96946"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The retardation factor </w:t>
      </w:r>
      <m:oMath>
        <m:r>
          <w:rPr>
            <w:rFonts w:ascii="Cambria Math" w:hAnsi="Cambria Math" w:cs="Times New Roman"/>
            <w:sz w:val="20"/>
            <w:szCs w:val="20"/>
          </w:rPr>
          <m:t xml:space="preserve">Rfi </m:t>
        </m:r>
      </m:oMath>
      <w:r w:rsidRPr="003C05E7">
        <w:rPr>
          <w:rFonts w:ascii="Times New Roman" w:hAnsi="Times New Roman" w:cs="Times New Roman"/>
          <w:sz w:val="20"/>
          <w:szCs w:val="20"/>
        </w:rPr>
        <w:t xml:space="preserve"> for radionuclide </w:t>
      </w:r>
      <w:proofErr w:type="spellStart"/>
      <w:r w:rsidRPr="003C05E7">
        <w:rPr>
          <w:rFonts w:ascii="Times New Roman" w:hAnsi="Times New Roman" w:cs="Times New Roman"/>
          <w:sz w:val="20"/>
          <w:szCs w:val="20"/>
        </w:rPr>
        <w:t>i</w:t>
      </w:r>
      <w:proofErr w:type="spellEnd"/>
      <w:r w:rsidRPr="003C05E7">
        <w:rPr>
          <w:rFonts w:ascii="Times New Roman" w:hAnsi="Times New Roman" w:cs="Times New Roman"/>
          <w:sz w:val="20"/>
          <w:szCs w:val="20"/>
        </w:rPr>
        <w:t xml:space="preserve"> is the ratio of the average pore water velocity to the radionuclide transport velocity. Assuming a linear adsorption–desorption isotherm, it is given by Equation 6 (</w:t>
      </w:r>
      <w:proofErr w:type="spellStart"/>
      <w:r w:rsidRPr="003C05E7">
        <w:rPr>
          <w:rFonts w:ascii="Times New Roman" w:hAnsi="Times New Roman" w:cs="Times New Roman"/>
          <w:sz w:val="20"/>
          <w:szCs w:val="20"/>
        </w:rPr>
        <w:t>Njinga</w:t>
      </w:r>
      <w:proofErr w:type="spellEnd"/>
      <w:r w:rsidRPr="003C05E7">
        <w:rPr>
          <w:rFonts w:ascii="Times New Roman" w:hAnsi="Times New Roman" w:cs="Times New Roman"/>
          <w:sz w:val="20"/>
          <w:szCs w:val="20"/>
        </w:rPr>
        <w:t xml:space="preserve"> &amp; </w:t>
      </w:r>
      <w:proofErr w:type="spellStart"/>
      <w:r w:rsidRPr="003C05E7">
        <w:rPr>
          <w:rFonts w:ascii="Times New Roman" w:hAnsi="Times New Roman" w:cs="Times New Roman"/>
          <w:sz w:val="20"/>
          <w:szCs w:val="20"/>
        </w:rPr>
        <w:t>Tshivhase</w:t>
      </w:r>
      <w:proofErr w:type="spellEnd"/>
      <w:r w:rsidRPr="003C05E7">
        <w:rPr>
          <w:rFonts w:ascii="Times New Roman" w:hAnsi="Times New Roman" w:cs="Times New Roman"/>
          <w:sz w:val="20"/>
          <w:szCs w:val="20"/>
        </w:rPr>
        <w:t>, 2018; Yu, 1987; Yu, 1999):</w:t>
      </w:r>
    </w:p>
    <w:p w14:paraId="5C088C3A" w14:textId="4D84A870" w:rsidR="003C05E7" w:rsidRPr="003C05E7" w:rsidRDefault="00724412" w:rsidP="003C05E7">
      <w:pPr>
        <w:spacing w:after="0" w:line="240" w:lineRule="auto"/>
        <w:jc w:val="both"/>
        <w:rPr>
          <w:rFonts w:ascii="Times New Roman" w:hAnsi="Times New Roman" w:cs="Times New Roman"/>
          <w:sz w:val="20"/>
          <w:szCs w:val="20"/>
        </w:rPr>
      </w:pPr>
      <m:oMath>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R</m:t>
            </m:r>
          </m:e>
          <m:sub>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f</m:t>
                </m:r>
              </m:e>
              <m:sub>
                <m:r>
                  <w:rPr>
                    <w:rFonts w:ascii="Cambria Math" w:hAnsi="Cambria Math" w:cs="Times New Roman"/>
                    <w:sz w:val="20"/>
                    <w:szCs w:val="20"/>
                  </w:rPr>
                  <m:t>i</m:t>
                </m:r>
              </m:sub>
            </m:sSub>
          </m:sub>
        </m:sSub>
        <m:r>
          <m:rPr>
            <m:sty m:val="p"/>
          </m:rPr>
          <w:rPr>
            <w:rFonts w:ascii="Cambria Math" w:hAnsi="Cambria Math" w:cs="Times New Roman"/>
            <w:sz w:val="20"/>
            <w:szCs w:val="20"/>
          </w:rPr>
          <m:t xml:space="preserve">  = 1 + </m:t>
        </m:r>
        <m:f>
          <m:fPr>
            <m:ctrlPr>
              <w:rPr>
                <w:rFonts w:ascii="Cambria Math" w:eastAsia="Times New Roman" w:hAnsi="Cambria Math" w:cs="Times New Roman"/>
                <w:sz w:val="20"/>
                <w:szCs w:val="20"/>
                <w:lang w:val="zh-CN" w:eastAsia="zh-CN"/>
              </w:rPr>
            </m:ctrlPr>
          </m:fPr>
          <m:num>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ρ</m:t>
                </m:r>
              </m:e>
              <m:sub>
                <m:r>
                  <w:rPr>
                    <w:rFonts w:ascii="Cambria Math" w:hAnsi="Cambria Math" w:cs="Times New Roman"/>
                    <w:sz w:val="20"/>
                    <w:szCs w:val="20"/>
                  </w:rPr>
                  <m:t>b</m:t>
                </m:r>
              </m:sub>
            </m:sSub>
            <m:r>
              <m:rPr>
                <m:sty m:val="p"/>
              </m:rPr>
              <w:rPr>
                <w:rFonts w:ascii="Cambria Math" w:hAnsi="Cambria Math" w:cs="Times New Roman"/>
                <w:sz w:val="20"/>
                <w:szCs w:val="20"/>
              </w:rPr>
              <m:t xml:space="preserve"> × </m:t>
            </m:r>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k</m:t>
                </m:r>
              </m:e>
              <m:sub>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d</m:t>
                    </m:r>
                  </m:e>
                  <m:sub>
                    <m:r>
                      <w:rPr>
                        <w:rFonts w:ascii="Cambria Math" w:hAnsi="Cambria Math" w:cs="Times New Roman"/>
                        <w:sz w:val="20"/>
                        <w:szCs w:val="20"/>
                      </w:rPr>
                      <m:t>i</m:t>
                    </m:r>
                  </m:sub>
                </m:sSub>
              </m:sub>
            </m:sSub>
          </m:num>
          <m:den>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V</m:t>
                </m:r>
              </m:e>
              <m:sub>
                <m:r>
                  <w:rPr>
                    <w:rFonts w:ascii="Cambria Math" w:hAnsi="Cambria Math" w:cs="Times New Roman"/>
                    <w:sz w:val="20"/>
                    <w:szCs w:val="20"/>
                  </w:rPr>
                  <m:t>wc</m:t>
                </m:r>
              </m:sub>
            </m:sSub>
          </m:den>
        </m:f>
        <m:r>
          <m:rPr>
            <m:sty m:val="p"/>
          </m:rPr>
          <w:rPr>
            <w:rFonts w:ascii="Cambria Math" w:hAnsi="Cambria Math" w:cs="Times New Roman"/>
            <w:sz w:val="20"/>
            <w:szCs w:val="20"/>
          </w:rPr>
          <m:t xml:space="preserve"> = 1 + </m:t>
        </m:r>
        <m:f>
          <m:fPr>
            <m:ctrlPr>
              <w:rPr>
                <w:rFonts w:ascii="Cambria Math" w:eastAsia="Times New Roman" w:hAnsi="Cambria Math" w:cs="Times New Roman"/>
                <w:sz w:val="20"/>
                <w:szCs w:val="20"/>
                <w:lang w:val="zh-CN" w:eastAsia="zh-CN"/>
              </w:rPr>
            </m:ctrlPr>
          </m:fPr>
          <m:num>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ρ</m:t>
                </m:r>
              </m:e>
              <m:sub>
                <m:r>
                  <w:rPr>
                    <w:rFonts w:ascii="Cambria Math" w:hAnsi="Cambria Math" w:cs="Times New Roman"/>
                    <w:sz w:val="20"/>
                    <w:szCs w:val="20"/>
                  </w:rPr>
                  <m:t>b</m:t>
                </m:r>
              </m:sub>
            </m:sSub>
            <m:r>
              <m:rPr>
                <m:sty m:val="p"/>
              </m:rPr>
              <w:rPr>
                <w:rFonts w:ascii="Cambria Math" w:hAnsi="Cambria Math" w:cs="Times New Roman"/>
                <w:sz w:val="20"/>
                <w:szCs w:val="20"/>
              </w:rPr>
              <m:t xml:space="preserve"> × </m:t>
            </m:r>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k</m:t>
                </m:r>
              </m:e>
              <m:sub>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d</m:t>
                    </m:r>
                  </m:e>
                  <m:sub>
                    <m:r>
                      <w:rPr>
                        <w:rFonts w:ascii="Cambria Math" w:hAnsi="Cambria Math" w:cs="Times New Roman"/>
                        <w:sz w:val="20"/>
                        <w:szCs w:val="20"/>
                      </w:rPr>
                      <m:t>i</m:t>
                    </m:r>
                  </m:sub>
                </m:sSub>
              </m:sub>
            </m:sSub>
          </m:num>
          <m:den>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P</m:t>
                </m:r>
              </m:e>
              <m:sub>
                <m:r>
                  <w:rPr>
                    <w:rFonts w:ascii="Cambria Math" w:hAnsi="Cambria Math" w:cs="Times New Roman"/>
                    <w:sz w:val="20"/>
                    <w:szCs w:val="20"/>
                  </w:rPr>
                  <m:t>t</m:t>
                </m:r>
              </m:sub>
            </m:sSub>
            <m:r>
              <m:rPr>
                <m:sty m:val="p"/>
              </m:rPr>
              <w:rPr>
                <w:rFonts w:ascii="Cambria Math" w:hAnsi="Cambria Math" w:cs="Times New Roman"/>
                <w:sz w:val="20"/>
                <w:szCs w:val="20"/>
              </w:rPr>
              <m:t xml:space="preserve"> × </m:t>
            </m:r>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R</m:t>
                </m:r>
              </m:e>
              <m:sub>
                <m:r>
                  <w:rPr>
                    <w:rFonts w:ascii="Cambria Math" w:hAnsi="Cambria Math" w:cs="Times New Roman"/>
                    <w:sz w:val="20"/>
                    <w:szCs w:val="20"/>
                  </w:rPr>
                  <m:t>s</m:t>
                </m:r>
              </m:sub>
            </m:sSub>
          </m:den>
        </m:f>
      </m:oMath>
      <w:r w:rsidR="003C05E7" w:rsidRPr="003C05E7">
        <w:rPr>
          <w:rFonts w:ascii="Times New Roman" w:hAnsi="Times New Roman" w:cs="Times New Roman"/>
          <w:sz w:val="20"/>
          <w:szCs w:val="20"/>
        </w:rPr>
        <w:tab/>
        <w:t>(6)</w:t>
      </w:r>
    </w:p>
    <w:p w14:paraId="4EF87931"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r w:rsidRPr="003C05E7">
        <w:rPr>
          <w:rFonts w:ascii="Times New Roman" w:hAnsi="Times New Roman" w:cs="Times New Roman"/>
          <w:sz w:val="20"/>
          <w:szCs w:val="20"/>
        </w:rPr>
        <w:t xml:space="preserve">where </w:t>
      </w:r>
      <m:oMath>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k</m:t>
            </m:r>
          </m:e>
          <m:sub>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d</m:t>
                </m:r>
              </m:e>
              <m:sub>
                <m:r>
                  <w:rPr>
                    <w:rFonts w:ascii="Cambria Math" w:hAnsi="Cambria Math" w:cs="Times New Roman"/>
                    <w:sz w:val="20"/>
                    <w:szCs w:val="20"/>
                  </w:rPr>
                  <m:t>i</m:t>
                </m:r>
              </m:sub>
            </m:sSub>
          </m:sub>
        </m:sSub>
      </m:oMath>
      <w:r w:rsidRPr="003C05E7">
        <w:rPr>
          <w:rFonts w:ascii="Times New Roman" w:hAnsi="Times New Roman" w:cs="Times New Roman"/>
          <w:sz w:val="20"/>
          <w:szCs w:val="20"/>
        </w:rPr>
        <w:t xml:space="preserve"> = distribution coefficient for the </w:t>
      </w:r>
      <m:oMath>
        <m:sSup>
          <m:sSupPr>
            <m:ctrlPr>
              <w:rPr>
                <w:rFonts w:ascii="Cambria Math" w:eastAsia="Times New Roman" w:hAnsi="Cambria Math" w:cs="Times New Roman"/>
                <w:i/>
                <w:sz w:val="20"/>
                <w:szCs w:val="20"/>
                <w:lang w:val="zh-CN" w:eastAsia="zh-CN"/>
              </w:rPr>
            </m:ctrlPr>
          </m:sSupPr>
          <m:e>
            <m:r>
              <w:rPr>
                <w:rFonts w:ascii="Cambria Math" w:hAnsi="Cambria Math" w:cs="Times New Roman"/>
                <w:sz w:val="20"/>
                <w:szCs w:val="20"/>
              </w:rPr>
              <m:t>i</m:t>
            </m:r>
          </m:e>
          <m:sup>
            <m:r>
              <w:rPr>
                <w:rFonts w:ascii="Cambria Math" w:hAnsi="Cambria Math" w:cs="Times New Roman"/>
                <w:sz w:val="20"/>
                <w:szCs w:val="20"/>
              </w:rPr>
              <m:t>th</m:t>
            </m:r>
          </m:sup>
        </m:sSup>
      </m:oMath>
      <w:r w:rsidRPr="003C05E7">
        <w:rPr>
          <w:rFonts w:ascii="Times New Roman" w:hAnsi="Times New Roman" w:cs="Times New Roman"/>
          <w:sz w:val="20"/>
          <w:szCs w:val="20"/>
        </w:rPr>
        <w:t xml:space="preserve"> principal radionuclide (cm³ 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w:t>
      </w:r>
      <m:oMath>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ρ</m:t>
            </m:r>
          </m:e>
          <m:sub>
            <m:r>
              <w:rPr>
                <w:rFonts w:ascii="Cambria Math" w:hAnsi="Cambria Math" w:cs="Times New Roman"/>
                <w:sz w:val="20"/>
                <w:szCs w:val="20"/>
              </w:rPr>
              <m:t>b</m:t>
            </m:r>
          </m:sub>
        </m:sSub>
        <m:r>
          <m:rPr>
            <m:sty m:val="p"/>
          </m:rPr>
          <w:rPr>
            <w:rFonts w:ascii="Cambria Math" w:hAnsi="Cambria Math" w:cs="Times New Roman"/>
            <w:sz w:val="20"/>
            <w:szCs w:val="20"/>
          </w:rPr>
          <m:t xml:space="preserve"> </m:t>
        </m:r>
      </m:oMath>
      <w:r w:rsidRPr="003C05E7">
        <w:rPr>
          <w:rFonts w:ascii="Times New Roman" w:hAnsi="Times New Roman" w:cs="Times New Roman"/>
          <w:sz w:val="20"/>
          <w:szCs w:val="20"/>
        </w:rPr>
        <w:t xml:space="preserve"> = bulk density (g cm</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³); </w:t>
      </w:r>
      <m:oMath>
        <m:sSub>
          <m:sSubPr>
            <m:ctrlPr>
              <w:rPr>
                <w:rFonts w:ascii="Cambria Math" w:eastAsia="Times New Roman" w:hAnsi="Cambria Math" w:cs="Times New Roman"/>
                <w:sz w:val="20"/>
                <w:szCs w:val="20"/>
                <w:lang w:val="zh-CN" w:eastAsia="zh-CN"/>
              </w:rPr>
            </m:ctrlPr>
          </m:sSubPr>
          <m:e>
            <m:r>
              <w:rPr>
                <w:rFonts w:ascii="Cambria Math" w:hAnsi="Cambria Math" w:cs="Times New Roman"/>
                <w:sz w:val="20"/>
                <w:szCs w:val="20"/>
              </w:rPr>
              <m:t>P</m:t>
            </m:r>
          </m:e>
          <m:sub>
            <m:r>
              <w:rPr>
                <w:rFonts w:ascii="Cambria Math" w:hAnsi="Cambria Math" w:cs="Times New Roman"/>
                <w:sz w:val="20"/>
                <w:szCs w:val="20"/>
              </w:rPr>
              <m:t>t</m:t>
            </m:r>
          </m:sub>
        </m:sSub>
      </m:oMath>
      <w:r w:rsidRPr="003C05E7">
        <w:rPr>
          <w:rFonts w:ascii="Times New Roman" w:hAnsi="Times New Roman" w:cs="Times New Roman"/>
          <w:sz w:val="20"/>
          <w:szCs w:val="20"/>
        </w:rPr>
        <w:t xml:space="preserve">= total porosity. The leaching rate of a radionuclide is determined by its </w:t>
      </w:r>
      <m:oMath>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k</m:t>
            </m:r>
          </m:e>
          <m:sub>
            <m:sSub>
              <m:sSubPr>
                <m:ctrlPr>
                  <w:rPr>
                    <w:rFonts w:ascii="Cambria Math" w:eastAsia="Times New Roman" w:hAnsi="Cambria Math" w:cs="Times New Roman"/>
                    <w:i/>
                    <w:sz w:val="20"/>
                    <w:szCs w:val="20"/>
                    <w:lang w:val="zh-CN" w:eastAsia="zh-CN"/>
                  </w:rPr>
                </m:ctrlPr>
              </m:sSubPr>
              <m:e>
                <m:r>
                  <w:rPr>
                    <w:rFonts w:ascii="Cambria Math" w:hAnsi="Cambria Math" w:cs="Times New Roman"/>
                    <w:sz w:val="20"/>
                    <w:szCs w:val="20"/>
                  </w:rPr>
                  <m:t>d</m:t>
                </m:r>
              </m:e>
              <m:sub>
                <m:r>
                  <w:rPr>
                    <w:rFonts w:ascii="Cambria Math" w:hAnsi="Cambria Math" w:cs="Times New Roman"/>
                    <w:sz w:val="20"/>
                    <w:szCs w:val="20"/>
                  </w:rPr>
                  <m:t>i</m:t>
                </m:r>
              </m:sub>
            </m:sSub>
          </m:sub>
        </m:sSub>
      </m:oMath>
      <w:r w:rsidRPr="003C05E7">
        <w:rPr>
          <w:rFonts w:ascii="Times New Roman" w:hAnsi="Times New Roman" w:cs="Times New Roman"/>
          <w:sz w:val="20"/>
          <w:szCs w:val="20"/>
        </w:rPr>
        <w:t xml:space="preserve"> value, which governs the relative transport velocity of the radionuclide compared to water in the pore space. The leach rate also depends on the infiltration rate, soil properties (bulk density, porosity, saturated hydraulic conductivity, b-parameter), and contamination extent (zone thickness, area, and radionuclide concentration).</w:t>
      </w:r>
    </w:p>
    <w:p w14:paraId="2D4E2AC3"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2ACB4C23" w14:textId="77777777" w:rsidR="003C05E7" w:rsidRPr="00FF6215" w:rsidRDefault="003C05E7" w:rsidP="003C05E7">
      <w:pPr>
        <w:spacing w:after="0" w:line="240" w:lineRule="auto"/>
        <w:rPr>
          <w:rFonts w:ascii="Times New Roman" w:eastAsia="Times New Roman" w:hAnsi="Times New Roman" w:cs="Times New Roman"/>
          <w:sz w:val="20"/>
          <w:szCs w:val="20"/>
        </w:rPr>
      </w:pPr>
      <w:r w:rsidRPr="00FF6215">
        <w:rPr>
          <w:rFonts w:ascii="Times New Roman" w:hAnsi="Times New Roman" w:cs="Times New Roman"/>
          <w:b/>
          <w:bCs/>
          <w:sz w:val="20"/>
          <w:szCs w:val="20"/>
        </w:rPr>
        <w:t>RESRAD-Onsite 7.2 Input Parameters</w:t>
      </w:r>
    </w:p>
    <w:p w14:paraId="5434B7A0"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r w:rsidRPr="003C05E7">
        <w:rPr>
          <w:rFonts w:ascii="Times New Roman" w:hAnsi="Times New Roman" w:cs="Times New Roman"/>
          <w:sz w:val="20"/>
          <w:szCs w:val="20"/>
        </w:rPr>
        <w:t xml:space="preserve">The RESRAD-Onsite 7.2 simulation was configured using the ICRP Publication 107 (ICRP, 2008) nuclear decay data library, Federal Guidance Reports FGR-11 and FGR-12 for internal and external dose conversion factors, respectively, and FGR-13 for carcinogenic risk coefficients. A radionuclide half-life cut-off of 180 days was applied. The simulation spanned 1000 years (1.0 × 10³ </w:t>
      </w:r>
      <w:proofErr w:type="spellStart"/>
      <w:r w:rsidRPr="003C05E7">
        <w:rPr>
          <w:rFonts w:ascii="Times New Roman" w:hAnsi="Times New Roman" w:cs="Times New Roman"/>
          <w:sz w:val="20"/>
          <w:szCs w:val="20"/>
        </w:rPr>
        <w:t>yr</w:t>
      </w:r>
      <w:proofErr w:type="spellEnd"/>
      <w:r w:rsidRPr="003C05E7">
        <w:rPr>
          <w:rFonts w:ascii="Times New Roman" w:hAnsi="Times New Roman" w:cs="Times New Roman"/>
          <w:sz w:val="20"/>
          <w:szCs w:val="20"/>
        </w:rPr>
        <w:t xml:space="preserve">). Two scenarios were modelled: the unmitigated condition with cover depth = 0.00 m, and the remediation scenario with a 1.25 m clean soil cover. Mean activity concentrations from Table 3b were used as primary </w:t>
      </w:r>
      <w:proofErr w:type="spellStart"/>
      <w:r w:rsidRPr="003C05E7">
        <w:rPr>
          <w:rFonts w:ascii="Times New Roman" w:hAnsi="Times New Roman" w:cs="Times New Roman"/>
          <w:sz w:val="20"/>
          <w:szCs w:val="20"/>
        </w:rPr>
        <w:t>RESRAD</w:t>
      </w:r>
      <w:proofErr w:type="spellEnd"/>
      <w:r w:rsidRPr="003C05E7">
        <w:rPr>
          <w:rFonts w:ascii="Times New Roman" w:hAnsi="Times New Roman" w:cs="Times New Roman"/>
          <w:sz w:val="20"/>
          <w:szCs w:val="20"/>
        </w:rPr>
        <w:t xml:space="preserve"> inputs: 0.93057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 xml:space="preserve">K), 0.02534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and 0.07628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Site-specific and default input parameters are </w:t>
      </w:r>
      <w:proofErr w:type="spellStart"/>
      <w:r w:rsidRPr="003C05E7">
        <w:rPr>
          <w:rFonts w:ascii="Times New Roman" w:hAnsi="Times New Roman" w:cs="Times New Roman"/>
          <w:sz w:val="20"/>
          <w:szCs w:val="20"/>
        </w:rPr>
        <w:t>summarised</w:t>
      </w:r>
      <w:proofErr w:type="spellEnd"/>
      <w:r w:rsidRPr="003C05E7">
        <w:rPr>
          <w:rFonts w:ascii="Times New Roman" w:hAnsi="Times New Roman" w:cs="Times New Roman"/>
          <w:sz w:val="20"/>
          <w:szCs w:val="20"/>
        </w:rPr>
        <w:t xml:space="preserve"> in Table 2. The distribution coefficients (</w:t>
      </w:r>
      <w:proofErr w:type="spellStart"/>
      <w:r w:rsidRPr="003C05E7">
        <w:rPr>
          <w:rFonts w:ascii="Times New Roman" w:hAnsi="Times New Roman" w:cs="Times New Roman"/>
          <w:i/>
          <w:iCs/>
          <w:sz w:val="20"/>
          <w:szCs w:val="20"/>
        </w:rPr>
        <w:t>K</w:t>
      </w:r>
      <w:r w:rsidRPr="003C05E7">
        <w:rPr>
          <w:rFonts w:ascii="Times New Roman" w:hAnsi="Times New Roman" w:cs="Times New Roman"/>
          <w:sz w:val="20"/>
          <w:szCs w:val="20"/>
          <w:vertAlign w:val="subscript"/>
        </w:rPr>
        <w:t>d</w:t>
      </w:r>
      <w:proofErr w:type="spellEnd"/>
      <w:r w:rsidRPr="003C05E7">
        <w:rPr>
          <w:rFonts w:ascii="Times New Roman" w:hAnsi="Times New Roman" w:cs="Times New Roman"/>
          <w:sz w:val="20"/>
          <w:szCs w:val="20"/>
        </w:rPr>
        <w:t xml:space="preserve"> values) of Ra-226, Th-232 and K-40 across the three zones (contaminated, saturated and unsaturated) were set to 36,000 cm³ 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3,300 cm³ 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and 55 cm³ 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respectively, for loamy sand to sandy loam soils, following the values reported by </w:t>
      </w:r>
      <w:proofErr w:type="spellStart"/>
      <w:r w:rsidRPr="003C05E7">
        <w:rPr>
          <w:rFonts w:ascii="Times New Roman" w:hAnsi="Times New Roman" w:cs="Times New Roman"/>
          <w:sz w:val="20"/>
          <w:szCs w:val="20"/>
        </w:rPr>
        <w:t>Njinga</w:t>
      </w:r>
      <w:proofErr w:type="spellEnd"/>
      <w:r w:rsidRPr="003C05E7">
        <w:rPr>
          <w:rFonts w:ascii="Times New Roman" w:hAnsi="Times New Roman" w:cs="Times New Roman"/>
          <w:sz w:val="20"/>
          <w:szCs w:val="20"/>
        </w:rPr>
        <w:t xml:space="preserve"> and </w:t>
      </w:r>
      <w:proofErr w:type="spellStart"/>
      <w:r w:rsidRPr="003C05E7">
        <w:rPr>
          <w:rFonts w:ascii="Times New Roman" w:hAnsi="Times New Roman" w:cs="Times New Roman"/>
          <w:sz w:val="20"/>
          <w:szCs w:val="20"/>
        </w:rPr>
        <w:t>Tshivhase</w:t>
      </w:r>
      <w:proofErr w:type="spellEnd"/>
      <w:r w:rsidRPr="003C05E7">
        <w:rPr>
          <w:rFonts w:ascii="Times New Roman" w:hAnsi="Times New Roman" w:cs="Times New Roman"/>
          <w:sz w:val="20"/>
          <w:szCs w:val="20"/>
        </w:rPr>
        <w:t xml:space="preserve"> (2018) for texturally comparable Basement Complex soils, in order to evaluate the transport mechanism to the water table.</w:t>
      </w:r>
    </w:p>
    <w:p w14:paraId="4974EE40" w14:textId="77777777" w:rsidR="005F11BF" w:rsidRDefault="005F11BF" w:rsidP="003C05E7">
      <w:pPr>
        <w:spacing w:after="0" w:line="240" w:lineRule="auto"/>
        <w:jc w:val="both"/>
        <w:rPr>
          <w:rFonts w:ascii="Times New Roman" w:eastAsiaTheme="minorEastAsia" w:hAnsi="Times New Roman" w:cs="Times New Roman"/>
          <w:sz w:val="20"/>
          <w:szCs w:val="20"/>
        </w:rPr>
        <w:sectPr w:rsidR="005F11BF" w:rsidSect="005F11BF">
          <w:type w:val="continuous"/>
          <w:pgSz w:w="12242" w:h="15842" w:code="1"/>
          <w:pgMar w:top="1440" w:right="1440" w:bottom="1440" w:left="1440" w:header="709" w:footer="709" w:gutter="0"/>
          <w:cols w:num="2" w:space="288"/>
          <w:docGrid w:linePitch="360"/>
        </w:sectPr>
      </w:pPr>
    </w:p>
    <w:p w14:paraId="057557F6" w14:textId="2E242872" w:rsidR="003C05E7" w:rsidRDefault="003C05E7" w:rsidP="003C05E7">
      <w:pPr>
        <w:spacing w:after="0" w:line="240" w:lineRule="auto"/>
        <w:jc w:val="both"/>
        <w:rPr>
          <w:rFonts w:ascii="Times New Roman" w:eastAsiaTheme="minorEastAsia" w:hAnsi="Times New Roman" w:cs="Times New Roman"/>
          <w:sz w:val="20"/>
          <w:szCs w:val="20"/>
        </w:rPr>
      </w:pPr>
    </w:p>
    <w:p w14:paraId="3C3057C9" w14:textId="25A4809B" w:rsidR="002E79FB" w:rsidRDefault="002E79FB" w:rsidP="003C05E7">
      <w:pPr>
        <w:spacing w:after="0" w:line="240" w:lineRule="auto"/>
        <w:jc w:val="both"/>
        <w:rPr>
          <w:rFonts w:ascii="Times New Roman" w:eastAsiaTheme="minorEastAsia" w:hAnsi="Times New Roman" w:cs="Times New Roman"/>
          <w:sz w:val="20"/>
          <w:szCs w:val="20"/>
        </w:rPr>
      </w:pPr>
    </w:p>
    <w:p w14:paraId="32E671D5" w14:textId="4DA9C2B5" w:rsidR="002E79FB" w:rsidRDefault="002E79FB" w:rsidP="003C05E7">
      <w:pPr>
        <w:spacing w:after="0" w:line="240" w:lineRule="auto"/>
        <w:jc w:val="both"/>
        <w:rPr>
          <w:rFonts w:ascii="Times New Roman" w:eastAsiaTheme="minorEastAsia" w:hAnsi="Times New Roman" w:cs="Times New Roman"/>
          <w:sz w:val="20"/>
          <w:szCs w:val="20"/>
        </w:rPr>
      </w:pPr>
    </w:p>
    <w:p w14:paraId="049F7ACA" w14:textId="75365379" w:rsidR="002E79FB" w:rsidRDefault="002E79FB" w:rsidP="003C05E7">
      <w:pPr>
        <w:spacing w:after="0" w:line="240" w:lineRule="auto"/>
        <w:jc w:val="both"/>
        <w:rPr>
          <w:rFonts w:ascii="Times New Roman" w:eastAsiaTheme="minorEastAsia" w:hAnsi="Times New Roman" w:cs="Times New Roman"/>
          <w:sz w:val="20"/>
          <w:szCs w:val="20"/>
        </w:rPr>
      </w:pPr>
    </w:p>
    <w:p w14:paraId="402D3CB9" w14:textId="227F511D" w:rsidR="002E79FB" w:rsidRDefault="002E79FB" w:rsidP="003C05E7">
      <w:pPr>
        <w:spacing w:after="0" w:line="240" w:lineRule="auto"/>
        <w:jc w:val="both"/>
        <w:rPr>
          <w:rFonts w:ascii="Times New Roman" w:eastAsiaTheme="minorEastAsia" w:hAnsi="Times New Roman" w:cs="Times New Roman"/>
          <w:sz w:val="20"/>
          <w:szCs w:val="20"/>
        </w:rPr>
      </w:pPr>
    </w:p>
    <w:p w14:paraId="09577917" w14:textId="77777777" w:rsidR="002E79FB" w:rsidRPr="003C05E7" w:rsidRDefault="002E79FB" w:rsidP="003C05E7">
      <w:pPr>
        <w:spacing w:after="0" w:line="240" w:lineRule="auto"/>
        <w:jc w:val="both"/>
        <w:rPr>
          <w:rFonts w:ascii="Times New Roman" w:eastAsiaTheme="minorEastAsia" w:hAnsi="Times New Roman" w:cs="Times New Roman"/>
          <w:sz w:val="20"/>
          <w:szCs w:val="20"/>
        </w:rPr>
      </w:pPr>
    </w:p>
    <w:p w14:paraId="01BC1BE3" w14:textId="54414A9A" w:rsidR="003C05E7" w:rsidRPr="003C05E7" w:rsidRDefault="003C05E7" w:rsidP="003C05E7">
      <w:pPr>
        <w:spacing w:after="0" w:line="240" w:lineRule="auto"/>
        <w:rPr>
          <w:rFonts w:ascii="Times New Roman" w:eastAsia="Times New Roman" w:hAnsi="Times New Roman" w:cs="Times New Roman"/>
          <w:sz w:val="20"/>
          <w:szCs w:val="20"/>
        </w:rPr>
      </w:pPr>
      <w:r w:rsidRPr="003C05E7">
        <w:rPr>
          <w:rFonts w:ascii="Times New Roman" w:hAnsi="Times New Roman" w:cs="Times New Roman"/>
          <w:b/>
          <w:bCs/>
          <w:sz w:val="20"/>
          <w:szCs w:val="20"/>
        </w:rPr>
        <w:lastRenderedPageBreak/>
        <w:t>Table 2</w:t>
      </w:r>
      <w:r w:rsidR="00FF6215">
        <w:rPr>
          <w:rFonts w:ascii="Times New Roman" w:hAnsi="Times New Roman" w:cs="Times New Roman"/>
          <w:b/>
          <w:bCs/>
          <w:sz w:val="20"/>
          <w:szCs w:val="20"/>
        </w:rPr>
        <w:t>:</w:t>
      </w:r>
      <w:r w:rsidRPr="003C05E7">
        <w:rPr>
          <w:rFonts w:ascii="Times New Roman" w:hAnsi="Times New Roman" w:cs="Times New Roman"/>
          <w:b/>
          <w:bCs/>
          <w:sz w:val="20"/>
          <w:szCs w:val="20"/>
        </w:rPr>
        <w:t xml:space="preserve"> Site-</w:t>
      </w:r>
      <w:r w:rsidR="00FF6215" w:rsidRPr="003C05E7">
        <w:rPr>
          <w:rFonts w:ascii="Times New Roman" w:hAnsi="Times New Roman" w:cs="Times New Roman"/>
          <w:b/>
          <w:bCs/>
          <w:sz w:val="20"/>
          <w:szCs w:val="20"/>
        </w:rPr>
        <w:t xml:space="preserve">Specific </w:t>
      </w:r>
      <w:r w:rsidRPr="003C05E7">
        <w:rPr>
          <w:rFonts w:ascii="Times New Roman" w:hAnsi="Times New Roman" w:cs="Times New Roman"/>
          <w:b/>
          <w:bCs/>
          <w:sz w:val="20"/>
          <w:szCs w:val="20"/>
        </w:rPr>
        <w:t xml:space="preserve">and </w:t>
      </w:r>
      <w:r w:rsidR="00FF6215" w:rsidRPr="003C05E7">
        <w:rPr>
          <w:rFonts w:ascii="Times New Roman" w:hAnsi="Times New Roman" w:cs="Times New Roman"/>
          <w:b/>
          <w:bCs/>
          <w:sz w:val="20"/>
          <w:szCs w:val="20"/>
        </w:rPr>
        <w:t xml:space="preserve">Default Input Parameters Used </w:t>
      </w:r>
      <w:r w:rsidRPr="003C05E7">
        <w:rPr>
          <w:rFonts w:ascii="Times New Roman" w:hAnsi="Times New Roman" w:cs="Times New Roman"/>
          <w:b/>
          <w:bCs/>
          <w:sz w:val="20"/>
          <w:szCs w:val="20"/>
        </w:rPr>
        <w:t xml:space="preserve">in RESRAD-Onsite 7.2 </w:t>
      </w:r>
      <w:r w:rsidR="00FF6215" w:rsidRPr="003C05E7">
        <w:rPr>
          <w:rFonts w:ascii="Times New Roman" w:hAnsi="Times New Roman" w:cs="Times New Roman"/>
          <w:b/>
          <w:bCs/>
          <w:sz w:val="20"/>
          <w:szCs w:val="20"/>
        </w:rPr>
        <w:t>Simulations</w:t>
      </w:r>
    </w:p>
    <w:tbl>
      <w:tblPr>
        <w:tblStyle w:val="ListTable6Colorful"/>
        <w:tblW w:w="5000" w:type="pct"/>
        <w:tblLook w:val="0620" w:firstRow="1" w:lastRow="0" w:firstColumn="0" w:lastColumn="0" w:noHBand="1" w:noVBand="1"/>
      </w:tblPr>
      <w:tblGrid>
        <w:gridCol w:w="4357"/>
        <w:gridCol w:w="2593"/>
        <w:gridCol w:w="2412"/>
      </w:tblGrid>
      <w:tr w:rsidR="003C05E7" w:rsidRPr="003C05E7" w14:paraId="673748BE" w14:textId="77777777" w:rsidTr="00077D71">
        <w:trPr>
          <w:cnfStyle w:val="100000000000" w:firstRow="1" w:lastRow="0" w:firstColumn="0" w:lastColumn="0" w:oddVBand="0" w:evenVBand="0" w:oddHBand="0" w:evenHBand="0" w:firstRowFirstColumn="0" w:firstRowLastColumn="0" w:lastRowFirstColumn="0" w:lastRowLastColumn="0"/>
          <w:trHeight w:val="230"/>
          <w:tblHeader/>
        </w:trPr>
        <w:tc>
          <w:tcPr>
            <w:tcW w:w="2327" w:type="pct"/>
            <w:tcBorders>
              <w:top w:val="single" w:sz="4" w:space="0" w:color="000000" w:themeColor="text1"/>
              <w:left w:val="nil"/>
              <w:right w:val="nil"/>
            </w:tcBorders>
            <w:hideMark/>
          </w:tcPr>
          <w:p w14:paraId="28868AB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Parameter</w:t>
            </w:r>
          </w:p>
        </w:tc>
        <w:tc>
          <w:tcPr>
            <w:tcW w:w="1385" w:type="pct"/>
            <w:tcBorders>
              <w:top w:val="single" w:sz="4" w:space="0" w:color="000000" w:themeColor="text1"/>
              <w:left w:val="nil"/>
              <w:right w:val="nil"/>
            </w:tcBorders>
            <w:hideMark/>
          </w:tcPr>
          <w:p w14:paraId="4C8356C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Site-Specific Data</w:t>
            </w:r>
          </w:p>
        </w:tc>
        <w:tc>
          <w:tcPr>
            <w:tcW w:w="1288" w:type="pct"/>
            <w:tcBorders>
              <w:top w:val="single" w:sz="4" w:space="0" w:color="000000" w:themeColor="text1"/>
              <w:left w:val="nil"/>
              <w:right w:val="nil"/>
            </w:tcBorders>
            <w:hideMark/>
          </w:tcPr>
          <w:p w14:paraId="65A432A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Default Value</w:t>
            </w:r>
          </w:p>
        </w:tc>
      </w:tr>
      <w:tr w:rsidR="003C05E7" w:rsidRPr="003C05E7" w14:paraId="3DCFA09C" w14:textId="77777777" w:rsidTr="00077D71">
        <w:trPr>
          <w:trHeight w:val="230"/>
        </w:trPr>
        <w:tc>
          <w:tcPr>
            <w:tcW w:w="2327" w:type="pct"/>
            <w:tcBorders>
              <w:top w:val="nil"/>
              <w:left w:val="nil"/>
              <w:bottom w:val="nil"/>
              <w:right w:val="nil"/>
            </w:tcBorders>
            <w:hideMark/>
          </w:tcPr>
          <w:p w14:paraId="4EEE7D5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Area of contaminated zone</w:t>
            </w:r>
          </w:p>
        </w:tc>
        <w:tc>
          <w:tcPr>
            <w:tcW w:w="1385" w:type="pct"/>
            <w:tcBorders>
              <w:top w:val="nil"/>
              <w:left w:val="nil"/>
              <w:bottom w:val="nil"/>
              <w:right w:val="nil"/>
            </w:tcBorders>
            <w:hideMark/>
          </w:tcPr>
          <w:p w14:paraId="2E4B1DB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183,800 m² (0.1838 km²)</w:t>
            </w:r>
          </w:p>
        </w:tc>
        <w:tc>
          <w:tcPr>
            <w:tcW w:w="1288" w:type="pct"/>
            <w:tcBorders>
              <w:top w:val="nil"/>
              <w:left w:val="nil"/>
              <w:bottom w:val="nil"/>
              <w:right w:val="nil"/>
            </w:tcBorders>
            <w:hideMark/>
          </w:tcPr>
          <w:p w14:paraId="12BED3C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6BEFBEFF" w14:textId="77777777" w:rsidTr="00077D71">
        <w:trPr>
          <w:trHeight w:val="230"/>
        </w:trPr>
        <w:tc>
          <w:tcPr>
            <w:tcW w:w="2327" w:type="pct"/>
            <w:tcBorders>
              <w:top w:val="nil"/>
              <w:left w:val="nil"/>
              <w:bottom w:val="nil"/>
              <w:right w:val="nil"/>
            </w:tcBorders>
            <w:hideMark/>
          </w:tcPr>
          <w:p w14:paraId="61514B4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Thickness of contaminated zone</w:t>
            </w:r>
          </w:p>
        </w:tc>
        <w:tc>
          <w:tcPr>
            <w:tcW w:w="1385" w:type="pct"/>
            <w:tcBorders>
              <w:top w:val="nil"/>
              <w:left w:val="nil"/>
              <w:bottom w:val="nil"/>
              <w:right w:val="nil"/>
            </w:tcBorders>
            <w:hideMark/>
          </w:tcPr>
          <w:p w14:paraId="06C29F8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2.00 m</w:t>
            </w:r>
          </w:p>
        </w:tc>
        <w:tc>
          <w:tcPr>
            <w:tcW w:w="1288" w:type="pct"/>
            <w:tcBorders>
              <w:top w:val="nil"/>
              <w:left w:val="nil"/>
              <w:bottom w:val="nil"/>
              <w:right w:val="nil"/>
            </w:tcBorders>
            <w:hideMark/>
          </w:tcPr>
          <w:p w14:paraId="736E5CE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192FA1DC" w14:textId="77777777" w:rsidTr="00077D71">
        <w:trPr>
          <w:trHeight w:val="230"/>
        </w:trPr>
        <w:tc>
          <w:tcPr>
            <w:tcW w:w="2327" w:type="pct"/>
            <w:tcBorders>
              <w:top w:val="nil"/>
              <w:left w:val="nil"/>
              <w:bottom w:val="nil"/>
              <w:right w:val="nil"/>
            </w:tcBorders>
            <w:hideMark/>
          </w:tcPr>
          <w:p w14:paraId="677F20D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Cover depth (Scenario 1 / Scenario 2)</w:t>
            </w:r>
          </w:p>
        </w:tc>
        <w:tc>
          <w:tcPr>
            <w:tcW w:w="1385" w:type="pct"/>
            <w:tcBorders>
              <w:top w:val="nil"/>
              <w:left w:val="nil"/>
              <w:bottom w:val="nil"/>
              <w:right w:val="nil"/>
            </w:tcBorders>
            <w:hideMark/>
          </w:tcPr>
          <w:p w14:paraId="131AC63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0.00 m / 1.25 m</w:t>
            </w:r>
          </w:p>
        </w:tc>
        <w:tc>
          <w:tcPr>
            <w:tcW w:w="1288" w:type="pct"/>
            <w:tcBorders>
              <w:top w:val="nil"/>
              <w:left w:val="nil"/>
              <w:bottom w:val="nil"/>
              <w:right w:val="nil"/>
            </w:tcBorders>
            <w:hideMark/>
          </w:tcPr>
          <w:p w14:paraId="0533397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47D4A2F5" w14:textId="77777777" w:rsidTr="00077D71">
        <w:trPr>
          <w:trHeight w:val="230"/>
        </w:trPr>
        <w:tc>
          <w:tcPr>
            <w:tcW w:w="2327" w:type="pct"/>
            <w:tcBorders>
              <w:top w:val="nil"/>
              <w:left w:val="nil"/>
              <w:bottom w:val="nil"/>
              <w:right w:val="nil"/>
            </w:tcBorders>
            <w:hideMark/>
          </w:tcPr>
          <w:p w14:paraId="5361276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Density of contaminated zone</w:t>
            </w:r>
          </w:p>
        </w:tc>
        <w:tc>
          <w:tcPr>
            <w:tcW w:w="1385" w:type="pct"/>
            <w:tcBorders>
              <w:top w:val="nil"/>
              <w:left w:val="nil"/>
              <w:bottom w:val="nil"/>
              <w:right w:val="nil"/>
            </w:tcBorders>
            <w:hideMark/>
          </w:tcPr>
          <w:p w14:paraId="5132446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1.44 g/cm³</w:t>
            </w:r>
          </w:p>
        </w:tc>
        <w:tc>
          <w:tcPr>
            <w:tcW w:w="1288" w:type="pct"/>
            <w:tcBorders>
              <w:top w:val="nil"/>
              <w:left w:val="nil"/>
              <w:bottom w:val="nil"/>
              <w:right w:val="nil"/>
            </w:tcBorders>
            <w:hideMark/>
          </w:tcPr>
          <w:p w14:paraId="1077326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65942FC5" w14:textId="77777777" w:rsidTr="00077D71">
        <w:trPr>
          <w:trHeight w:val="230"/>
        </w:trPr>
        <w:tc>
          <w:tcPr>
            <w:tcW w:w="2327" w:type="pct"/>
            <w:tcBorders>
              <w:top w:val="nil"/>
              <w:left w:val="nil"/>
              <w:bottom w:val="nil"/>
              <w:right w:val="nil"/>
            </w:tcBorders>
            <w:hideMark/>
          </w:tcPr>
          <w:p w14:paraId="437C642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Contaminated zone total porosity</w:t>
            </w:r>
          </w:p>
        </w:tc>
        <w:tc>
          <w:tcPr>
            <w:tcW w:w="1385" w:type="pct"/>
            <w:tcBorders>
              <w:top w:val="nil"/>
              <w:left w:val="nil"/>
              <w:bottom w:val="nil"/>
              <w:right w:val="nil"/>
            </w:tcBorders>
            <w:hideMark/>
          </w:tcPr>
          <w:p w14:paraId="161BDDA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0.43</w:t>
            </w:r>
          </w:p>
        </w:tc>
        <w:tc>
          <w:tcPr>
            <w:tcW w:w="1288" w:type="pct"/>
            <w:tcBorders>
              <w:top w:val="nil"/>
              <w:left w:val="nil"/>
              <w:bottom w:val="nil"/>
              <w:right w:val="nil"/>
            </w:tcBorders>
            <w:hideMark/>
          </w:tcPr>
          <w:p w14:paraId="4613183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33AA8678" w14:textId="77777777" w:rsidTr="00077D71">
        <w:trPr>
          <w:trHeight w:val="230"/>
        </w:trPr>
        <w:tc>
          <w:tcPr>
            <w:tcW w:w="2327" w:type="pct"/>
            <w:tcBorders>
              <w:top w:val="nil"/>
              <w:left w:val="nil"/>
              <w:bottom w:val="nil"/>
              <w:right w:val="nil"/>
            </w:tcBorders>
            <w:hideMark/>
          </w:tcPr>
          <w:p w14:paraId="00F9913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Contaminated zone b-parameter</w:t>
            </w:r>
          </w:p>
        </w:tc>
        <w:tc>
          <w:tcPr>
            <w:tcW w:w="1385" w:type="pct"/>
            <w:tcBorders>
              <w:top w:val="nil"/>
              <w:left w:val="nil"/>
              <w:bottom w:val="nil"/>
              <w:right w:val="nil"/>
            </w:tcBorders>
            <w:hideMark/>
          </w:tcPr>
          <w:p w14:paraId="01443C4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4.9</w:t>
            </w:r>
          </w:p>
        </w:tc>
        <w:tc>
          <w:tcPr>
            <w:tcW w:w="1288" w:type="pct"/>
            <w:tcBorders>
              <w:top w:val="nil"/>
              <w:left w:val="nil"/>
              <w:bottom w:val="nil"/>
              <w:right w:val="nil"/>
            </w:tcBorders>
            <w:hideMark/>
          </w:tcPr>
          <w:p w14:paraId="31CA299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4BCC3C56" w14:textId="77777777" w:rsidTr="00077D71">
        <w:trPr>
          <w:trHeight w:val="230"/>
        </w:trPr>
        <w:tc>
          <w:tcPr>
            <w:tcW w:w="2327" w:type="pct"/>
            <w:tcBorders>
              <w:top w:val="nil"/>
              <w:left w:val="nil"/>
              <w:bottom w:val="nil"/>
              <w:right w:val="nil"/>
            </w:tcBorders>
            <w:hideMark/>
          </w:tcPr>
          <w:p w14:paraId="2FF5776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Evapotranspiration coefficient</w:t>
            </w:r>
          </w:p>
        </w:tc>
        <w:tc>
          <w:tcPr>
            <w:tcW w:w="1385" w:type="pct"/>
            <w:tcBorders>
              <w:top w:val="nil"/>
              <w:left w:val="nil"/>
              <w:bottom w:val="nil"/>
              <w:right w:val="nil"/>
            </w:tcBorders>
            <w:hideMark/>
          </w:tcPr>
          <w:p w14:paraId="76F2AFC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1288" w:type="pct"/>
            <w:tcBorders>
              <w:top w:val="nil"/>
              <w:left w:val="nil"/>
              <w:bottom w:val="nil"/>
              <w:right w:val="nil"/>
            </w:tcBorders>
            <w:hideMark/>
          </w:tcPr>
          <w:p w14:paraId="574D4E9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0.5</w:t>
            </w:r>
          </w:p>
        </w:tc>
      </w:tr>
      <w:tr w:rsidR="003C05E7" w:rsidRPr="003C05E7" w14:paraId="45C36F47" w14:textId="77777777" w:rsidTr="00077D71">
        <w:trPr>
          <w:trHeight w:val="230"/>
        </w:trPr>
        <w:tc>
          <w:tcPr>
            <w:tcW w:w="2327" w:type="pct"/>
            <w:tcBorders>
              <w:top w:val="nil"/>
              <w:left w:val="nil"/>
              <w:bottom w:val="nil"/>
              <w:right w:val="nil"/>
            </w:tcBorders>
            <w:hideMark/>
          </w:tcPr>
          <w:p w14:paraId="75338E6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Contaminated zone erosion rate</w:t>
            </w:r>
          </w:p>
        </w:tc>
        <w:tc>
          <w:tcPr>
            <w:tcW w:w="1385" w:type="pct"/>
            <w:tcBorders>
              <w:top w:val="nil"/>
              <w:left w:val="nil"/>
              <w:bottom w:val="nil"/>
              <w:right w:val="nil"/>
            </w:tcBorders>
            <w:hideMark/>
          </w:tcPr>
          <w:p w14:paraId="55EAD31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1288" w:type="pct"/>
            <w:tcBorders>
              <w:top w:val="nil"/>
              <w:left w:val="nil"/>
              <w:bottom w:val="nil"/>
              <w:right w:val="nil"/>
            </w:tcBorders>
            <w:hideMark/>
          </w:tcPr>
          <w:p w14:paraId="2CB20DA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0.001 m/</w:t>
            </w:r>
            <w:proofErr w:type="spellStart"/>
            <w:r w:rsidRPr="003C05E7">
              <w:rPr>
                <w:rFonts w:ascii="Times New Roman" w:hAnsi="Times New Roman" w:cs="Times New Roman"/>
                <w:color w:val="000000"/>
                <w:sz w:val="20"/>
                <w:szCs w:val="20"/>
              </w:rPr>
              <w:t>yr</w:t>
            </w:r>
            <w:proofErr w:type="spellEnd"/>
          </w:p>
        </w:tc>
      </w:tr>
      <w:tr w:rsidR="003C05E7" w:rsidRPr="003C05E7" w14:paraId="5FBCDF51" w14:textId="77777777" w:rsidTr="00077D71">
        <w:trPr>
          <w:trHeight w:val="230"/>
        </w:trPr>
        <w:tc>
          <w:tcPr>
            <w:tcW w:w="2327" w:type="pct"/>
            <w:tcBorders>
              <w:top w:val="nil"/>
              <w:left w:val="nil"/>
              <w:bottom w:val="nil"/>
              <w:right w:val="nil"/>
            </w:tcBorders>
            <w:hideMark/>
          </w:tcPr>
          <w:p w14:paraId="7590D0E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Wind speed</w:t>
            </w:r>
          </w:p>
        </w:tc>
        <w:tc>
          <w:tcPr>
            <w:tcW w:w="1385" w:type="pct"/>
            <w:tcBorders>
              <w:top w:val="nil"/>
              <w:left w:val="nil"/>
              <w:bottom w:val="nil"/>
              <w:right w:val="nil"/>
            </w:tcBorders>
            <w:hideMark/>
          </w:tcPr>
          <w:p w14:paraId="4FAC280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4.1 m/s</w:t>
            </w:r>
          </w:p>
        </w:tc>
        <w:tc>
          <w:tcPr>
            <w:tcW w:w="1288" w:type="pct"/>
            <w:tcBorders>
              <w:top w:val="nil"/>
              <w:left w:val="nil"/>
              <w:bottom w:val="nil"/>
              <w:right w:val="nil"/>
            </w:tcBorders>
            <w:hideMark/>
          </w:tcPr>
          <w:p w14:paraId="1A879DC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2F3E8234" w14:textId="77777777" w:rsidTr="00077D71">
        <w:trPr>
          <w:trHeight w:val="230"/>
        </w:trPr>
        <w:tc>
          <w:tcPr>
            <w:tcW w:w="2327" w:type="pct"/>
            <w:tcBorders>
              <w:top w:val="nil"/>
              <w:left w:val="nil"/>
              <w:bottom w:val="nil"/>
              <w:right w:val="nil"/>
            </w:tcBorders>
            <w:hideMark/>
          </w:tcPr>
          <w:p w14:paraId="6BD0023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Precipitation rate</w:t>
            </w:r>
          </w:p>
        </w:tc>
        <w:tc>
          <w:tcPr>
            <w:tcW w:w="1385" w:type="pct"/>
            <w:tcBorders>
              <w:top w:val="nil"/>
              <w:left w:val="nil"/>
              <w:bottom w:val="nil"/>
              <w:right w:val="nil"/>
            </w:tcBorders>
            <w:hideMark/>
          </w:tcPr>
          <w:p w14:paraId="25F1BF0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 m/</w:t>
            </w:r>
            <w:proofErr w:type="spellStart"/>
            <w:r w:rsidRPr="003C05E7">
              <w:rPr>
                <w:rFonts w:ascii="Times New Roman" w:hAnsi="Times New Roman" w:cs="Times New Roman"/>
                <w:color w:val="000000"/>
                <w:sz w:val="20"/>
                <w:szCs w:val="20"/>
              </w:rPr>
              <w:t>yr</w:t>
            </w:r>
            <w:proofErr w:type="spellEnd"/>
          </w:p>
        </w:tc>
        <w:tc>
          <w:tcPr>
            <w:tcW w:w="1288" w:type="pct"/>
            <w:tcBorders>
              <w:top w:val="nil"/>
              <w:left w:val="nil"/>
              <w:bottom w:val="nil"/>
              <w:right w:val="nil"/>
            </w:tcBorders>
            <w:hideMark/>
          </w:tcPr>
          <w:p w14:paraId="4639B76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07ACBEFD" w14:textId="77777777" w:rsidTr="00077D71">
        <w:trPr>
          <w:trHeight w:val="230"/>
        </w:trPr>
        <w:tc>
          <w:tcPr>
            <w:tcW w:w="2327" w:type="pct"/>
            <w:tcBorders>
              <w:top w:val="nil"/>
              <w:left w:val="nil"/>
              <w:bottom w:val="nil"/>
              <w:right w:val="nil"/>
            </w:tcBorders>
            <w:hideMark/>
          </w:tcPr>
          <w:p w14:paraId="0C15C1D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Irrigation rate</w:t>
            </w:r>
          </w:p>
        </w:tc>
        <w:tc>
          <w:tcPr>
            <w:tcW w:w="1385" w:type="pct"/>
            <w:tcBorders>
              <w:top w:val="nil"/>
              <w:left w:val="nil"/>
              <w:bottom w:val="nil"/>
              <w:right w:val="nil"/>
            </w:tcBorders>
            <w:hideMark/>
          </w:tcPr>
          <w:p w14:paraId="39B8EF8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1288" w:type="pct"/>
            <w:tcBorders>
              <w:top w:val="nil"/>
              <w:left w:val="nil"/>
              <w:bottom w:val="nil"/>
              <w:right w:val="nil"/>
            </w:tcBorders>
            <w:hideMark/>
          </w:tcPr>
          <w:p w14:paraId="06C9D2E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0.2 m/</w:t>
            </w:r>
            <w:proofErr w:type="spellStart"/>
            <w:r w:rsidRPr="003C05E7">
              <w:rPr>
                <w:rFonts w:ascii="Times New Roman" w:hAnsi="Times New Roman" w:cs="Times New Roman"/>
                <w:color w:val="000000"/>
                <w:sz w:val="20"/>
                <w:szCs w:val="20"/>
              </w:rPr>
              <w:t>yr</w:t>
            </w:r>
            <w:proofErr w:type="spellEnd"/>
          </w:p>
        </w:tc>
      </w:tr>
      <w:tr w:rsidR="003C05E7" w:rsidRPr="003C05E7" w14:paraId="3A546B6E" w14:textId="77777777" w:rsidTr="00077D71">
        <w:trPr>
          <w:trHeight w:val="230"/>
        </w:trPr>
        <w:tc>
          <w:tcPr>
            <w:tcW w:w="2327" w:type="pct"/>
            <w:tcBorders>
              <w:top w:val="nil"/>
              <w:left w:val="nil"/>
              <w:bottom w:val="nil"/>
              <w:right w:val="nil"/>
            </w:tcBorders>
            <w:hideMark/>
          </w:tcPr>
          <w:p w14:paraId="0927A5F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Saturated zone total porosity</w:t>
            </w:r>
          </w:p>
        </w:tc>
        <w:tc>
          <w:tcPr>
            <w:tcW w:w="1385" w:type="pct"/>
            <w:tcBorders>
              <w:top w:val="nil"/>
              <w:left w:val="nil"/>
              <w:bottom w:val="nil"/>
              <w:right w:val="nil"/>
            </w:tcBorders>
            <w:hideMark/>
          </w:tcPr>
          <w:p w14:paraId="51159A3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1288" w:type="pct"/>
            <w:tcBorders>
              <w:top w:val="nil"/>
              <w:left w:val="nil"/>
              <w:bottom w:val="nil"/>
              <w:right w:val="nil"/>
            </w:tcBorders>
            <w:hideMark/>
          </w:tcPr>
          <w:p w14:paraId="44CAFCE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0.4</w:t>
            </w:r>
          </w:p>
        </w:tc>
      </w:tr>
      <w:tr w:rsidR="003C05E7" w:rsidRPr="003C05E7" w14:paraId="5A3118E9" w14:textId="77777777" w:rsidTr="00077D71">
        <w:trPr>
          <w:trHeight w:val="230"/>
        </w:trPr>
        <w:tc>
          <w:tcPr>
            <w:tcW w:w="2327" w:type="pct"/>
            <w:tcBorders>
              <w:top w:val="nil"/>
              <w:left w:val="nil"/>
              <w:bottom w:val="nil"/>
              <w:right w:val="nil"/>
            </w:tcBorders>
            <w:hideMark/>
          </w:tcPr>
          <w:p w14:paraId="53AA221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Saturated zone effective porosity</w:t>
            </w:r>
          </w:p>
        </w:tc>
        <w:tc>
          <w:tcPr>
            <w:tcW w:w="1385" w:type="pct"/>
            <w:tcBorders>
              <w:top w:val="nil"/>
              <w:left w:val="nil"/>
              <w:bottom w:val="nil"/>
              <w:right w:val="nil"/>
            </w:tcBorders>
            <w:hideMark/>
          </w:tcPr>
          <w:p w14:paraId="40E9CE7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1288" w:type="pct"/>
            <w:tcBorders>
              <w:top w:val="nil"/>
              <w:left w:val="nil"/>
              <w:bottom w:val="nil"/>
              <w:right w:val="nil"/>
            </w:tcBorders>
            <w:hideMark/>
          </w:tcPr>
          <w:p w14:paraId="64A2F22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0.2</w:t>
            </w:r>
          </w:p>
        </w:tc>
      </w:tr>
      <w:tr w:rsidR="003C05E7" w:rsidRPr="003C05E7" w14:paraId="2B62E673" w14:textId="77777777" w:rsidTr="00077D71">
        <w:trPr>
          <w:trHeight w:val="230"/>
        </w:trPr>
        <w:tc>
          <w:tcPr>
            <w:tcW w:w="2327" w:type="pct"/>
            <w:tcBorders>
              <w:top w:val="nil"/>
              <w:left w:val="nil"/>
              <w:bottom w:val="nil"/>
              <w:right w:val="nil"/>
            </w:tcBorders>
            <w:hideMark/>
          </w:tcPr>
          <w:p w14:paraId="289592D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Saturated hydraulic gradient</w:t>
            </w:r>
          </w:p>
        </w:tc>
        <w:tc>
          <w:tcPr>
            <w:tcW w:w="1385" w:type="pct"/>
            <w:tcBorders>
              <w:top w:val="nil"/>
              <w:left w:val="nil"/>
              <w:bottom w:val="nil"/>
              <w:right w:val="nil"/>
            </w:tcBorders>
            <w:hideMark/>
          </w:tcPr>
          <w:p w14:paraId="0D2E0C2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1288" w:type="pct"/>
            <w:tcBorders>
              <w:top w:val="nil"/>
              <w:left w:val="nil"/>
              <w:bottom w:val="nil"/>
              <w:right w:val="nil"/>
            </w:tcBorders>
            <w:hideMark/>
          </w:tcPr>
          <w:p w14:paraId="3A9619A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0.02</w:t>
            </w:r>
          </w:p>
        </w:tc>
      </w:tr>
      <w:tr w:rsidR="003C05E7" w:rsidRPr="003C05E7" w14:paraId="49DCF2AA" w14:textId="77777777" w:rsidTr="00077D71">
        <w:trPr>
          <w:trHeight w:val="230"/>
        </w:trPr>
        <w:tc>
          <w:tcPr>
            <w:tcW w:w="2327" w:type="pct"/>
            <w:tcBorders>
              <w:top w:val="nil"/>
              <w:left w:val="nil"/>
              <w:bottom w:val="nil"/>
              <w:right w:val="nil"/>
            </w:tcBorders>
            <w:hideMark/>
          </w:tcPr>
          <w:p w14:paraId="0C2F87E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Saturated zone b-parameter</w:t>
            </w:r>
          </w:p>
        </w:tc>
        <w:tc>
          <w:tcPr>
            <w:tcW w:w="1385" w:type="pct"/>
            <w:tcBorders>
              <w:top w:val="nil"/>
              <w:left w:val="nil"/>
              <w:bottom w:val="nil"/>
              <w:right w:val="nil"/>
            </w:tcBorders>
            <w:hideMark/>
          </w:tcPr>
          <w:p w14:paraId="167D25E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1288" w:type="pct"/>
            <w:tcBorders>
              <w:top w:val="nil"/>
              <w:left w:val="nil"/>
              <w:bottom w:val="nil"/>
              <w:right w:val="nil"/>
            </w:tcBorders>
            <w:hideMark/>
          </w:tcPr>
          <w:p w14:paraId="5A249E6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5.3</w:t>
            </w:r>
          </w:p>
        </w:tc>
      </w:tr>
      <w:tr w:rsidR="003C05E7" w:rsidRPr="003C05E7" w14:paraId="2DAE6DD2" w14:textId="77777777" w:rsidTr="00077D71">
        <w:trPr>
          <w:trHeight w:val="230"/>
        </w:trPr>
        <w:tc>
          <w:tcPr>
            <w:tcW w:w="2327" w:type="pct"/>
            <w:tcBorders>
              <w:top w:val="nil"/>
              <w:left w:val="nil"/>
              <w:bottom w:val="nil"/>
              <w:right w:val="nil"/>
            </w:tcBorders>
            <w:hideMark/>
          </w:tcPr>
          <w:p w14:paraId="3C562E2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Water table drop rate</w:t>
            </w:r>
          </w:p>
        </w:tc>
        <w:tc>
          <w:tcPr>
            <w:tcW w:w="1385" w:type="pct"/>
            <w:tcBorders>
              <w:top w:val="nil"/>
              <w:left w:val="nil"/>
              <w:bottom w:val="nil"/>
              <w:right w:val="nil"/>
            </w:tcBorders>
            <w:hideMark/>
          </w:tcPr>
          <w:p w14:paraId="5135C2E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1288" w:type="pct"/>
            <w:tcBorders>
              <w:top w:val="nil"/>
              <w:left w:val="nil"/>
              <w:bottom w:val="nil"/>
              <w:right w:val="nil"/>
            </w:tcBorders>
            <w:hideMark/>
          </w:tcPr>
          <w:p w14:paraId="1682A98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0.001 m/</w:t>
            </w:r>
            <w:proofErr w:type="spellStart"/>
            <w:r w:rsidRPr="003C05E7">
              <w:rPr>
                <w:rFonts w:ascii="Times New Roman" w:hAnsi="Times New Roman" w:cs="Times New Roman"/>
                <w:color w:val="000000"/>
                <w:sz w:val="20"/>
                <w:szCs w:val="20"/>
              </w:rPr>
              <w:t>yr</w:t>
            </w:r>
            <w:proofErr w:type="spellEnd"/>
          </w:p>
        </w:tc>
      </w:tr>
      <w:tr w:rsidR="003C05E7" w:rsidRPr="003C05E7" w14:paraId="50E84BCD" w14:textId="77777777" w:rsidTr="00077D71">
        <w:trPr>
          <w:trHeight w:val="230"/>
        </w:trPr>
        <w:tc>
          <w:tcPr>
            <w:tcW w:w="2327" w:type="pct"/>
            <w:tcBorders>
              <w:top w:val="nil"/>
              <w:left w:val="nil"/>
              <w:bottom w:val="nil"/>
              <w:right w:val="nil"/>
            </w:tcBorders>
            <w:hideMark/>
          </w:tcPr>
          <w:p w14:paraId="17B7D99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Well pump intake depth</w:t>
            </w:r>
          </w:p>
        </w:tc>
        <w:tc>
          <w:tcPr>
            <w:tcW w:w="1385" w:type="pct"/>
            <w:tcBorders>
              <w:top w:val="nil"/>
              <w:left w:val="nil"/>
              <w:bottom w:val="nil"/>
              <w:right w:val="nil"/>
            </w:tcBorders>
            <w:hideMark/>
          </w:tcPr>
          <w:p w14:paraId="032380E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 m</w:t>
            </w:r>
          </w:p>
        </w:tc>
        <w:tc>
          <w:tcPr>
            <w:tcW w:w="1288" w:type="pct"/>
            <w:tcBorders>
              <w:top w:val="nil"/>
              <w:left w:val="nil"/>
              <w:bottom w:val="nil"/>
              <w:right w:val="nil"/>
            </w:tcBorders>
            <w:hideMark/>
          </w:tcPr>
          <w:p w14:paraId="0415BC5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4584B27E" w14:textId="77777777" w:rsidTr="00077D71">
        <w:trPr>
          <w:trHeight w:val="230"/>
        </w:trPr>
        <w:tc>
          <w:tcPr>
            <w:tcW w:w="2327" w:type="pct"/>
            <w:tcBorders>
              <w:top w:val="nil"/>
              <w:left w:val="nil"/>
              <w:bottom w:val="nil"/>
              <w:right w:val="nil"/>
            </w:tcBorders>
            <w:hideMark/>
          </w:tcPr>
          <w:p w14:paraId="7AB0C64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Exposure duration</w:t>
            </w:r>
          </w:p>
        </w:tc>
        <w:tc>
          <w:tcPr>
            <w:tcW w:w="1385" w:type="pct"/>
            <w:tcBorders>
              <w:top w:val="nil"/>
              <w:left w:val="nil"/>
              <w:bottom w:val="nil"/>
              <w:right w:val="nil"/>
            </w:tcBorders>
            <w:hideMark/>
          </w:tcPr>
          <w:p w14:paraId="6AB3D2B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30 years</w:t>
            </w:r>
          </w:p>
        </w:tc>
        <w:tc>
          <w:tcPr>
            <w:tcW w:w="1288" w:type="pct"/>
            <w:tcBorders>
              <w:top w:val="nil"/>
              <w:left w:val="nil"/>
              <w:bottom w:val="nil"/>
              <w:right w:val="nil"/>
            </w:tcBorders>
            <w:hideMark/>
          </w:tcPr>
          <w:p w14:paraId="0FA845A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39E54282" w14:textId="77777777" w:rsidTr="00077D71">
        <w:trPr>
          <w:trHeight w:val="230"/>
        </w:trPr>
        <w:tc>
          <w:tcPr>
            <w:tcW w:w="2327" w:type="pct"/>
            <w:tcBorders>
              <w:top w:val="nil"/>
              <w:left w:val="nil"/>
              <w:bottom w:val="nil"/>
              <w:right w:val="nil"/>
            </w:tcBorders>
            <w:hideMark/>
          </w:tcPr>
          <w:p w14:paraId="0EC066A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Simulation time span</w:t>
            </w:r>
          </w:p>
        </w:tc>
        <w:tc>
          <w:tcPr>
            <w:tcW w:w="1385" w:type="pct"/>
            <w:tcBorders>
              <w:top w:val="nil"/>
              <w:left w:val="nil"/>
              <w:bottom w:val="nil"/>
              <w:right w:val="nil"/>
            </w:tcBorders>
            <w:hideMark/>
          </w:tcPr>
          <w:p w14:paraId="062F47E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1000 years</w:t>
            </w:r>
          </w:p>
        </w:tc>
        <w:tc>
          <w:tcPr>
            <w:tcW w:w="1288" w:type="pct"/>
            <w:tcBorders>
              <w:top w:val="nil"/>
              <w:left w:val="nil"/>
              <w:bottom w:val="nil"/>
              <w:right w:val="nil"/>
            </w:tcBorders>
            <w:hideMark/>
          </w:tcPr>
          <w:p w14:paraId="5EE6089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7D6F6B34" w14:textId="77777777" w:rsidTr="00077D71">
        <w:trPr>
          <w:trHeight w:val="230"/>
        </w:trPr>
        <w:tc>
          <w:tcPr>
            <w:tcW w:w="2327" w:type="pct"/>
            <w:tcBorders>
              <w:top w:val="nil"/>
              <w:left w:val="nil"/>
              <w:bottom w:val="nil"/>
              <w:right w:val="nil"/>
            </w:tcBorders>
            <w:hideMark/>
          </w:tcPr>
          <w:p w14:paraId="2B35360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Indoor time factor</w:t>
            </w:r>
          </w:p>
        </w:tc>
        <w:tc>
          <w:tcPr>
            <w:tcW w:w="1385" w:type="pct"/>
            <w:tcBorders>
              <w:top w:val="nil"/>
              <w:left w:val="nil"/>
              <w:bottom w:val="nil"/>
              <w:right w:val="nil"/>
            </w:tcBorders>
            <w:hideMark/>
          </w:tcPr>
          <w:p w14:paraId="3366FC0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0.5</w:t>
            </w:r>
          </w:p>
        </w:tc>
        <w:tc>
          <w:tcPr>
            <w:tcW w:w="1288" w:type="pct"/>
            <w:tcBorders>
              <w:top w:val="nil"/>
              <w:left w:val="nil"/>
              <w:bottom w:val="nil"/>
              <w:right w:val="nil"/>
            </w:tcBorders>
            <w:hideMark/>
          </w:tcPr>
          <w:p w14:paraId="10E006B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1A08B661" w14:textId="77777777" w:rsidTr="00077D71">
        <w:trPr>
          <w:trHeight w:val="230"/>
        </w:trPr>
        <w:tc>
          <w:tcPr>
            <w:tcW w:w="2327" w:type="pct"/>
            <w:tcBorders>
              <w:top w:val="nil"/>
              <w:left w:val="nil"/>
              <w:bottom w:val="nil"/>
              <w:right w:val="nil"/>
            </w:tcBorders>
            <w:hideMark/>
          </w:tcPr>
          <w:p w14:paraId="3670B55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Outdoor time factor</w:t>
            </w:r>
          </w:p>
        </w:tc>
        <w:tc>
          <w:tcPr>
            <w:tcW w:w="1385" w:type="pct"/>
            <w:tcBorders>
              <w:top w:val="nil"/>
              <w:left w:val="nil"/>
              <w:bottom w:val="nil"/>
              <w:right w:val="nil"/>
            </w:tcBorders>
            <w:hideMark/>
          </w:tcPr>
          <w:p w14:paraId="1CE9591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0.3</w:t>
            </w:r>
          </w:p>
        </w:tc>
        <w:tc>
          <w:tcPr>
            <w:tcW w:w="1288" w:type="pct"/>
            <w:tcBorders>
              <w:top w:val="nil"/>
              <w:left w:val="nil"/>
              <w:bottom w:val="nil"/>
              <w:right w:val="nil"/>
            </w:tcBorders>
            <w:hideMark/>
          </w:tcPr>
          <w:p w14:paraId="3F0ABD3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6FEF9BFE" w14:textId="77777777" w:rsidTr="00077D71">
        <w:trPr>
          <w:trHeight w:val="230"/>
        </w:trPr>
        <w:tc>
          <w:tcPr>
            <w:tcW w:w="2327" w:type="pct"/>
            <w:tcBorders>
              <w:top w:val="nil"/>
              <w:left w:val="nil"/>
              <w:bottom w:val="nil"/>
              <w:right w:val="nil"/>
            </w:tcBorders>
            <w:hideMark/>
          </w:tcPr>
          <w:p w14:paraId="5B4955D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Fruits and grains consumption rate</w:t>
            </w:r>
          </w:p>
        </w:tc>
        <w:tc>
          <w:tcPr>
            <w:tcW w:w="1385" w:type="pct"/>
            <w:tcBorders>
              <w:top w:val="nil"/>
              <w:left w:val="nil"/>
              <w:bottom w:val="nil"/>
              <w:right w:val="nil"/>
            </w:tcBorders>
            <w:hideMark/>
          </w:tcPr>
          <w:p w14:paraId="276F188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1288" w:type="pct"/>
            <w:tcBorders>
              <w:top w:val="nil"/>
              <w:left w:val="nil"/>
              <w:bottom w:val="nil"/>
              <w:right w:val="nil"/>
            </w:tcBorders>
            <w:hideMark/>
          </w:tcPr>
          <w:p w14:paraId="6C0DFEA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160 kg/</w:t>
            </w:r>
            <w:proofErr w:type="spellStart"/>
            <w:r w:rsidRPr="003C05E7">
              <w:rPr>
                <w:rFonts w:ascii="Times New Roman" w:hAnsi="Times New Roman" w:cs="Times New Roman"/>
                <w:color w:val="000000"/>
                <w:sz w:val="20"/>
                <w:szCs w:val="20"/>
              </w:rPr>
              <w:t>yr</w:t>
            </w:r>
            <w:proofErr w:type="spellEnd"/>
          </w:p>
        </w:tc>
      </w:tr>
      <w:tr w:rsidR="003C05E7" w:rsidRPr="003C05E7" w14:paraId="070AE9AA" w14:textId="77777777" w:rsidTr="00077D71">
        <w:trPr>
          <w:trHeight w:val="230"/>
        </w:trPr>
        <w:tc>
          <w:tcPr>
            <w:tcW w:w="2327" w:type="pct"/>
            <w:tcBorders>
              <w:top w:val="nil"/>
              <w:left w:val="nil"/>
              <w:bottom w:val="nil"/>
              <w:right w:val="nil"/>
            </w:tcBorders>
            <w:hideMark/>
          </w:tcPr>
          <w:p w14:paraId="5640503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Leafy vegetable consumption rate</w:t>
            </w:r>
          </w:p>
        </w:tc>
        <w:tc>
          <w:tcPr>
            <w:tcW w:w="1385" w:type="pct"/>
            <w:tcBorders>
              <w:top w:val="nil"/>
              <w:left w:val="nil"/>
              <w:bottom w:val="nil"/>
              <w:right w:val="nil"/>
            </w:tcBorders>
            <w:hideMark/>
          </w:tcPr>
          <w:p w14:paraId="7C51377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1288" w:type="pct"/>
            <w:tcBorders>
              <w:top w:val="nil"/>
              <w:left w:val="nil"/>
              <w:bottom w:val="nil"/>
              <w:right w:val="nil"/>
            </w:tcBorders>
            <w:hideMark/>
          </w:tcPr>
          <w:p w14:paraId="52C913D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14 kg/</w:t>
            </w:r>
            <w:proofErr w:type="spellStart"/>
            <w:r w:rsidRPr="003C05E7">
              <w:rPr>
                <w:rFonts w:ascii="Times New Roman" w:hAnsi="Times New Roman" w:cs="Times New Roman"/>
                <w:color w:val="000000"/>
                <w:sz w:val="20"/>
                <w:szCs w:val="20"/>
              </w:rPr>
              <w:t>yr</w:t>
            </w:r>
            <w:proofErr w:type="spellEnd"/>
          </w:p>
        </w:tc>
      </w:tr>
      <w:tr w:rsidR="003C05E7" w:rsidRPr="003C05E7" w14:paraId="49874AFE" w14:textId="77777777" w:rsidTr="00077D71">
        <w:trPr>
          <w:trHeight w:val="230"/>
        </w:trPr>
        <w:tc>
          <w:tcPr>
            <w:tcW w:w="2327" w:type="pct"/>
            <w:tcBorders>
              <w:top w:val="nil"/>
              <w:left w:val="nil"/>
              <w:bottom w:val="nil"/>
              <w:right w:val="nil"/>
            </w:tcBorders>
            <w:hideMark/>
          </w:tcPr>
          <w:p w14:paraId="48B2C7F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Soil ingestion rate</w:t>
            </w:r>
          </w:p>
        </w:tc>
        <w:tc>
          <w:tcPr>
            <w:tcW w:w="1385" w:type="pct"/>
            <w:tcBorders>
              <w:top w:val="nil"/>
              <w:left w:val="nil"/>
              <w:bottom w:val="nil"/>
              <w:right w:val="nil"/>
            </w:tcBorders>
            <w:hideMark/>
          </w:tcPr>
          <w:p w14:paraId="0DAE4B3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37 g/</w:t>
            </w:r>
            <w:proofErr w:type="spellStart"/>
            <w:r w:rsidRPr="003C05E7">
              <w:rPr>
                <w:rFonts w:ascii="Times New Roman" w:hAnsi="Times New Roman" w:cs="Times New Roman"/>
                <w:color w:val="000000"/>
                <w:sz w:val="20"/>
                <w:szCs w:val="20"/>
              </w:rPr>
              <w:t>yr</w:t>
            </w:r>
            <w:proofErr w:type="spellEnd"/>
          </w:p>
        </w:tc>
        <w:tc>
          <w:tcPr>
            <w:tcW w:w="1288" w:type="pct"/>
            <w:tcBorders>
              <w:top w:val="nil"/>
              <w:left w:val="nil"/>
              <w:bottom w:val="nil"/>
              <w:right w:val="nil"/>
            </w:tcBorders>
            <w:hideMark/>
          </w:tcPr>
          <w:p w14:paraId="72873EF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1164B612" w14:textId="77777777" w:rsidTr="00077D71">
        <w:trPr>
          <w:trHeight w:val="230"/>
        </w:trPr>
        <w:tc>
          <w:tcPr>
            <w:tcW w:w="2327" w:type="pct"/>
            <w:tcBorders>
              <w:top w:val="nil"/>
              <w:left w:val="nil"/>
              <w:bottom w:val="nil"/>
              <w:right w:val="nil"/>
            </w:tcBorders>
            <w:hideMark/>
          </w:tcPr>
          <w:p w14:paraId="6654D43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Drinking water intake</w:t>
            </w:r>
          </w:p>
        </w:tc>
        <w:tc>
          <w:tcPr>
            <w:tcW w:w="1385" w:type="pct"/>
            <w:tcBorders>
              <w:top w:val="nil"/>
              <w:left w:val="nil"/>
              <w:bottom w:val="nil"/>
              <w:right w:val="nil"/>
            </w:tcBorders>
            <w:hideMark/>
          </w:tcPr>
          <w:p w14:paraId="5F5DB83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1288" w:type="pct"/>
            <w:tcBorders>
              <w:top w:val="nil"/>
              <w:left w:val="nil"/>
              <w:bottom w:val="nil"/>
              <w:right w:val="nil"/>
            </w:tcBorders>
            <w:hideMark/>
          </w:tcPr>
          <w:p w14:paraId="2971E4D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 xml:space="preserve">510 </w:t>
            </w:r>
            <w:proofErr w:type="spellStart"/>
            <w:r w:rsidRPr="003C05E7">
              <w:rPr>
                <w:rFonts w:ascii="Times New Roman" w:hAnsi="Times New Roman" w:cs="Times New Roman"/>
                <w:color w:val="000000"/>
                <w:sz w:val="20"/>
                <w:szCs w:val="20"/>
              </w:rPr>
              <w:t>litres</w:t>
            </w:r>
            <w:proofErr w:type="spellEnd"/>
            <w:r w:rsidRPr="003C05E7">
              <w:rPr>
                <w:rFonts w:ascii="Times New Roman" w:hAnsi="Times New Roman" w:cs="Times New Roman"/>
                <w:color w:val="000000"/>
                <w:sz w:val="20"/>
                <w:szCs w:val="20"/>
              </w:rPr>
              <w:t>/</w:t>
            </w:r>
            <w:proofErr w:type="spellStart"/>
            <w:r w:rsidRPr="003C05E7">
              <w:rPr>
                <w:rFonts w:ascii="Times New Roman" w:hAnsi="Times New Roman" w:cs="Times New Roman"/>
                <w:color w:val="000000"/>
                <w:sz w:val="20"/>
                <w:szCs w:val="20"/>
              </w:rPr>
              <w:t>yr</w:t>
            </w:r>
            <w:proofErr w:type="spellEnd"/>
          </w:p>
        </w:tc>
      </w:tr>
      <w:tr w:rsidR="003C05E7" w:rsidRPr="003C05E7" w14:paraId="47FED27B" w14:textId="77777777" w:rsidTr="00077D71">
        <w:trPr>
          <w:trHeight w:val="230"/>
        </w:trPr>
        <w:tc>
          <w:tcPr>
            <w:tcW w:w="2327" w:type="pct"/>
            <w:tcBorders>
              <w:top w:val="nil"/>
              <w:left w:val="nil"/>
              <w:bottom w:val="nil"/>
              <w:right w:val="nil"/>
            </w:tcBorders>
            <w:hideMark/>
          </w:tcPr>
          <w:p w14:paraId="5FA9793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Half-life cut-off</w:t>
            </w:r>
          </w:p>
        </w:tc>
        <w:tc>
          <w:tcPr>
            <w:tcW w:w="1385" w:type="pct"/>
            <w:tcBorders>
              <w:top w:val="nil"/>
              <w:left w:val="nil"/>
              <w:bottom w:val="nil"/>
              <w:right w:val="nil"/>
            </w:tcBorders>
            <w:hideMark/>
          </w:tcPr>
          <w:p w14:paraId="039C71C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180 days</w:t>
            </w:r>
          </w:p>
        </w:tc>
        <w:tc>
          <w:tcPr>
            <w:tcW w:w="1288" w:type="pct"/>
            <w:tcBorders>
              <w:top w:val="nil"/>
              <w:left w:val="nil"/>
              <w:bottom w:val="nil"/>
              <w:right w:val="nil"/>
            </w:tcBorders>
            <w:hideMark/>
          </w:tcPr>
          <w:p w14:paraId="23C497C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6FC3F8E1" w14:textId="77777777" w:rsidTr="00077D71">
        <w:trPr>
          <w:trHeight w:val="230"/>
        </w:trPr>
        <w:tc>
          <w:tcPr>
            <w:tcW w:w="2327" w:type="pct"/>
            <w:tcBorders>
              <w:top w:val="nil"/>
              <w:left w:val="nil"/>
              <w:bottom w:val="nil"/>
              <w:right w:val="nil"/>
            </w:tcBorders>
            <w:hideMark/>
          </w:tcPr>
          <w:p w14:paraId="15DD8CD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Dose library</w:t>
            </w:r>
          </w:p>
        </w:tc>
        <w:tc>
          <w:tcPr>
            <w:tcW w:w="1385" w:type="pct"/>
            <w:tcBorders>
              <w:top w:val="nil"/>
              <w:left w:val="nil"/>
              <w:bottom w:val="nil"/>
              <w:right w:val="nil"/>
            </w:tcBorders>
            <w:hideMark/>
          </w:tcPr>
          <w:p w14:paraId="6F707A2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FGR 11, 12 &amp; 13; ICRP-38</w:t>
            </w:r>
          </w:p>
        </w:tc>
        <w:tc>
          <w:tcPr>
            <w:tcW w:w="1288" w:type="pct"/>
            <w:tcBorders>
              <w:top w:val="nil"/>
              <w:left w:val="nil"/>
              <w:bottom w:val="nil"/>
              <w:right w:val="nil"/>
            </w:tcBorders>
            <w:hideMark/>
          </w:tcPr>
          <w:p w14:paraId="490C166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r w:rsidR="003C05E7" w:rsidRPr="003C05E7" w14:paraId="7C4E0D9C" w14:textId="77777777" w:rsidTr="00077D71">
        <w:trPr>
          <w:trHeight w:val="230"/>
        </w:trPr>
        <w:tc>
          <w:tcPr>
            <w:tcW w:w="2327" w:type="pct"/>
            <w:tcBorders>
              <w:top w:val="nil"/>
              <w:left w:val="nil"/>
              <w:bottom w:val="single" w:sz="4" w:space="0" w:color="000000" w:themeColor="text1"/>
              <w:right w:val="nil"/>
            </w:tcBorders>
            <w:hideMark/>
          </w:tcPr>
          <w:p w14:paraId="4C2FC7E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Basic Radiation Dose Limit (BRDL)</w:t>
            </w:r>
          </w:p>
        </w:tc>
        <w:tc>
          <w:tcPr>
            <w:tcW w:w="1385" w:type="pct"/>
            <w:tcBorders>
              <w:top w:val="nil"/>
              <w:left w:val="nil"/>
              <w:bottom w:val="single" w:sz="4" w:space="0" w:color="000000" w:themeColor="text1"/>
              <w:right w:val="nil"/>
            </w:tcBorders>
            <w:hideMark/>
          </w:tcPr>
          <w:p w14:paraId="6015900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1.000E+00 mSv/</w:t>
            </w:r>
            <w:proofErr w:type="spellStart"/>
            <w:r w:rsidRPr="003C05E7">
              <w:rPr>
                <w:rFonts w:ascii="Times New Roman" w:hAnsi="Times New Roman" w:cs="Times New Roman"/>
                <w:color w:val="000000"/>
                <w:sz w:val="20"/>
                <w:szCs w:val="20"/>
              </w:rPr>
              <w:t>yr</w:t>
            </w:r>
            <w:proofErr w:type="spellEnd"/>
          </w:p>
        </w:tc>
        <w:tc>
          <w:tcPr>
            <w:tcW w:w="1288" w:type="pct"/>
            <w:tcBorders>
              <w:top w:val="nil"/>
              <w:left w:val="nil"/>
              <w:bottom w:val="single" w:sz="4" w:space="0" w:color="000000" w:themeColor="text1"/>
              <w:right w:val="nil"/>
            </w:tcBorders>
            <w:hideMark/>
          </w:tcPr>
          <w:p w14:paraId="36447BC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bl>
    <w:p w14:paraId="596D04F8" w14:textId="48A992D0" w:rsidR="003C05E7" w:rsidRPr="003C05E7" w:rsidRDefault="003C05E7" w:rsidP="00A37752">
      <w:pPr>
        <w:spacing w:after="0" w:line="240" w:lineRule="auto"/>
        <w:jc w:val="both"/>
        <w:rPr>
          <w:rFonts w:ascii="Times New Roman" w:eastAsia="Times New Roman" w:hAnsi="Times New Roman" w:cs="Times New Roman"/>
          <w:sz w:val="20"/>
          <w:szCs w:val="20"/>
          <w:lang w:val="zh-CN" w:eastAsia="zh-CN"/>
        </w:rPr>
      </w:pPr>
      <w:r w:rsidRPr="003C05E7">
        <w:rPr>
          <w:rFonts w:ascii="Times New Roman" w:hAnsi="Times New Roman" w:cs="Times New Roman"/>
          <w:i/>
          <w:iCs/>
          <w:sz w:val="20"/>
          <w:szCs w:val="20"/>
        </w:rPr>
        <w:t>Note</w:t>
      </w:r>
      <w:r w:rsidR="00A37752">
        <w:rPr>
          <w:rFonts w:ascii="Times New Roman" w:hAnsi="Times New Roman" w:cs="Times New Roman"/>
          <w:i/>
          <w:iCs/>
          <w:sz w:val="20"/>
          <w:szCs w:val="20"/>
        </w:rPr>
        <w:t>:</w:t>
      </w:r>
      <w:r w:rsidRPr="003C05E7">
        <w:rPr>
          <w:rFonts w:ascii="Times New Roman" w:hAnsi="Times New Roman" w:cs="Times New Roman"/>
          <w:i/>
          <w:iCs/>
          <w:sz w:val="20"/>
          <w:szCs w:val="20"/>
        </w:rPr>
        <w:t xml:space="preserve"> Site-</w:t>
      </w:r>
      <w:r w:rsidR="00A37752" w:rsidRPr="003C05E7">
        <w:rPr>
          <w:rFonts w:ascii="Times New Roman" w:hAnsi="Times New Roman" w:cs="Times New Roman"/>
          <w:i/>
          <w:iCs/>
          <w:sz w:val="20"/>
          <w:szCs w:val="20"/>
        </w:rPr>
        <w:t xml:space="preserve">Specific Values </w:t>
      </w:r>
      <w:r w:rsidRPr="003C05E7">
        <w:rPr>
          <w:rFonts w:ascii="Times New Roman" w:hAnsi="Times New Roman" w:cs="Times New Roman"/>
          <w:i/>
          <w:iCs/>
          <w:sz w:val="20"/>
          <w:szCs w:val="20"/>
        </w:rPr>
        <w:t xml:space="preserve">from </w:t>
      </w:r>
      <w:r w:rsidR="00A37752" w:rsidRPr="003C05E7">
        <w:rPr>
          <w:rFonts w:ascii="Times New Roman" w:hAnsi="Times New Roman" w:cs="Times New Roman"/>
          <w:i/>
          <w:iCs/>
          <w:sz w:val="20"/>
          <w:szCs w:val="20"/>
        </w:rPr>
        <w:t xml:space="preserve">Field Measurements </w:t>
      </w:r>
      <w:r w:rsidRPr="003C05E7">
        <w:rPr>
          <w:rFonts w:ascii="Times New Roman" w:hAnsi="Times New Roman" w:cs="Times New Roman"/>
          <w:i/>
          <w:iCs/>
          <w:sz w:val="20"/>
          <w:szCs w:val="20"/>
        </w:rPr>
        <w:t xml:space="preserve">and </w:t>
      </w:r>
      <w:r w:rsidR="00A37752" w:rsidRPr="003C05E7">
        <w:rPr>
          <w:rFonts w:ascii="Times New Roman" w:hAnsi="Times New Roman" w:cs="Times New Roman"/>
          <w:i/>
          <w:iCs/>
          <w:sz w:val="20"/>
          <w:szCs w:val="20"/>
        </w:rPr>
        <w:t xml:space="preserve">Site </w:t>
      </w:r>
      <w:proofErr w:type="spellStart"/>
      <w:r w:rsidR="00A37752" w:rsidRPr="003C05E7">
        <w:rPr>
          <w:rFonts w:ascii="Times New Roman" w:hAnsi="Times New Roman" w:cs="Times New Roman"/>
          <w:i/>
          <w:iCs/>
          <w:sz w:val="20"/>
          <w:szCs w:val="20"/>
        </w:rPr>
        <w:t>Characterisation</w:t>
      </w:r>
      <w:proofErr w:type="spellEnd"/>
      <w:r w:rsidRPr="003C05E7">
        <w:rPr>
          <w:rFonts w:ascii="Times New Roman" w:hAnsi="Times New Roman" w:cs="Times New Roman"/>
          <w:i/>
          <w:iCs/>
          <w:sz w:val="20"/>
          <w:szCs w:val="20"/>
        </w:rPr>
        <w:t xml:space="preserve">. Default </w:t>
      </w:r>
      <w:r w:rsidR="00A37752" w:rsidRPr="003C05E7">
        <w:rPr>
          <w:rFonts w:ascii="Times New Roman" w:hAnsi="Times New Roman" w:cs="Times New Roman"/>
          <w:i/>
          <w:iCs/>
          <w:sz w:val="20"/>
          <w:szCs w:val="20"/>
        </w:rPr>
        <w:t xml:space="preserve">Values </w:t>
      </w:r>
      <w:r w:rsidRPr="003C05E7">
        <w:rPr>
          <w:rFonts w:ascii="Times New Roman" w:hAnsi="Times New Roman" w:cs="Times New Roman"/>
          <w:i/>
          <w:iCs/>
          <w:sz w:val="20"/>
          <w:szCs w:val="20"/>
        </w:rPr>
        <w:t>from Yu et al. (2001a</w:t>
      </w:r>
      <w:proofErr w:type="gramStart"/>
      <w:r w:rsidRPr="003C05E7">
        <w:rPr>
          <w:rFonts w:ascii="Times New Roman" w:hAnsi="Times New Roman" w:cs="Times New Roman"/>
          <w:i/>
          <w:iCs/>
          <w:sz w:val="20"/>
          <w:szCs w:val="20"/>
        </w:rPr>
        <w:t>);Yu</w:t>
      </w:r>
      <w:proofErr w:type="gramEnd"/>
      <w:r w:rsidRPr="003C05E7">
        <w:rPr>
          <w:rFonts w:ascii="Times New Roman" w:hAnsi="Times New Roman" w:cs="Times New Roman"/>
          <w:i/>
          <w:iCs/>
          <w:sz w:val="20"/>
          <w:szCs w:val="20"/>
        </w:rPr>
        <w:t xml:space="preserve"> et al. (2001b). BRDL as </w:t>
      </w:r>
      <w:r w:rsidR="00A37752" w:rsidRPr="003C05E7">
        <w:rPr>
          <w:rFonts w:ascii="Times New Roman" w:hAnsi="Times New Roman" w:cs="Times New Roman"/>
          <w:i/>
          <w:iCs/>
          <w:sz w:val="20"/>
          <w:szCs w:val="20"/>
        </w:rPr>
        <w:t xml:space="preserve">Applied </w:t>
      </w:r>
      <w:r w:rsidRPr="003C05E7">
        <w:rPr>
          <w:rFonts w:ascii="Times New Roman" w:hAnsi="Times New Roman" w:cs="Times New Roman"/>
          <w:i/>
          <w:iCs/>
          <w:sz w:val="20"/>
          <w:szCs w:val="20"/>
        </w:rPr>
        <w:t xml:space="preserve">by the </w:t>
      </w:r>
      <w:r w:rsidR="00A37752" w:rsidRPr="003C05E7">
        <w:rPr>
          <w:rFonts w:ascii="Times New Roman" w:hAnsi="Times New Roman" w:cs="Times New Roman"/>
          <w:i/>
          <w:iCs/>
          <w:sz w:val="20"/>
          <w:szCs w:val="20"/>
        </w:rPr>
        <w:t xml:space="preserve">Code </w:t>
      </w:r>
      <w:r w:rsidRPr="003C05E7">
        <w:rPr>
          <w:rFonts w:ascii="Times New Roman" w:hAnsi="Times New Roman" w:cs="Times New Roman"/>
          <w:i/>
          <w:iCs/>
          <w:sz w:val="20"/>
          <w:szCs w:val="20"/>
        </w:rPr>
        <w:t>= 1.000E+00 mSv/</w:t>
      </w:r>
      <w:proofErr w:type="spellStart"/>
      <w:r w:rsidRPr="003C05E7">
        <w:rPr>
          <w:rFonts w:ascii="Times New Roman" w:hAnsi="Times New Roman" w:cs="Times New Roman"/>
          <w:i/>
          <w:iCs/>
          <w:sz w:val="20"/>
          <w:szCs w:val="20"/>
        </w:rPr>
        <w:t>yr</w:t>
      </w:r>
      <w:proofErr w:type="spellEnd"/>
    </w:p>
    <w:p w14:paraId="46647C21" w14:textId="77777777" w:rsidR="003C05E7" w:rsidRPr="003C05E7" w:rsidRDefault="003C05E7" w:rsidP="003C05E7">
      <w:pPr>
        <w:spacing w:after="0" w:line="240" w:lineRule="auto"/>
        <w:rPr>
          <w:rFonts w:ascii="Times New Roman" w:eastAsiaTheme="minorEastAsia" w:hAnsi="Times New Roman" w:cs="Times New Roman"/>
          <w:b/>
          <w:bCs/>
          <w:sz w:val="20"/>
          <w:szCs w:val="20"/>
        </w:rPr>
      </w:pPr>
    </w:p>
    <w:p w14:paraId="34196EC5" w14:textId="77777777" w:rsidR="00A37752" w:rsidRDefault="00A37752" w:rsidP="003C05E7">
      <w:pPr>
        <w:spacing w:after="0" w:line="240" w:lineRule="auto"/>
        <w:rPr>
          <w:rFonts w:ascii="Times New Roman" w:hAnsi="Times New Roman" w:cs="Times New Roman"/>
          <w:b/>
          <w:bCs/>
          <w:sz w:val="20"/>
          <w:szCs w:val="20"/>
        </w:rPr>
        <w:sectPr w:rsidR="00A37752" w:rsidSect="002A637C">
          <w:type w:val="continuous"/>
          <w:pgSz w:w="12242" w:h="15842" w:code="1"/>
          <w:pgMar w:top="1440" w:right="1440" w:bottom="1440" w:left="1440" w:header="709" w:footer="709" w:gutter="0"/>
          <w:cols w:space="284"/>
          <w:docGrid w:linePitch="360"/>
        </w:sectPr>
      </w:pPr>
    </w:p>
    <w:p w14:paraId="17FAD642" w14:textId="0966495F" w:rsidR="003C05E7" w:rsidRPr="003C05E7" w:rsidRDefault="003C05E7" w:rsidP="00A37752">
      <w:pPr>
        <w:spacing w:after="0" w:line="240" w:lineRule="auto"/>
        <w:jc w:val="both"/>
        <w:rPr>
          <w:rFonts w:ascii="Times New Roman" w:eastAsia="Times New Roman" w:hAnsi="Times New Roman" w:cs="Times New Roman"/>
          <w:sz w:val="20"/>
          <w:szCs w:val="20"/>
        </w:rPr>
      </w:pPr>
      <w:r w:rsidRPr="003C05E7">
        <w:rPr>
          <w:rFonts w:ascii="Times New Roman" w:hAnsi="Times New Roman" w:cs="Times New Roman"/>
          <w:b/>
          <w:bCs/>
          <w:sz w:val="20"/>
          <w:szCs w:val="20"/>
        </w:rPr>
        <w:t>RESULTS AND DISCUSSION</w:t>
      </w:r>
    </w:p>
    <w:p w14:paraId="0CFA5468" w14:textId="77777777" w:rsidR="003C05E7" w:rsidRPr="00A37752" w:rsidRDefault="003C05E7" w:rsidP="00A37752">
      <w:pPr>
        <w:spacing w:after="0" w:line="240" w:lineRule="auto"/>
        <w:jc w:val="both"/>
        <w:rPr>
          <w:rFonts w:ascii="Times New Roman" w:hAnsi="Times New Roman" w:cs="Times New Roman"/>
          <w:sz w:val="20"/>
          <w:szCs w:val="20"/>
        </w:rPr>
      </w:pPr>
      <w:r w:rsidRPr="00A37752">
        <w:rPr>
          <w:rFonts w:ascii="Times New Roman" w:hAnsi="Times New Roman" w:cs="Times New Roman"/>
          <w:b/>
          <w:bCs/>
          <w:sz w:val="20"/>
          <w:szCs w:val="20"/>
        </w:rPr>
        <w:t>Activity Concentrations and Comparison with World Average</w:t>
      </w:r>
    </w:p>
    <w:p w14:paraId="7A84D69F" w14:textId="77777777" w:rsidR="003C05E7" w:rsidRPr="003C05E7" w:rsidRDefault="003C05E7" w:rsidP="00A37752">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The measured activity concentrations of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 xml:space="preserve">K,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and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in soil samples from the six quarry sampling points and the control site are presented in Table 3a, and their conversion to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for use as RESRAD-Onsite 7.2 primary inputs are given in Table 3b. At the quarry site, mean activity concentrations were 930.57 ± 61.89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 xml:space="preserve">K), 25.34 ± 4.32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and 76.28 ± 4.81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The control site yielded substantially lower values of 71.28 ± 5.63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 xml:space="preserve">K), 31.94 ± 2.09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and 15.84 ± 1.26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confirming enhancement of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 xml:space="preserve">K and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radioactivity at the quarry site relative to the uncontaminated background, consistent with mechanical exposure and disaggregation of thorium- and potassium-bearing minerals during quarrying. It is noteworthy that the control site recorded a higher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concentration (31.94 ± 2.09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than the quarry site </w:t>
      </w:r>
      <w:proofErr w:type="gramStart"/>
      <w:r w:rsidRPr="003C05E7">
        <w:rPr>
          <w:rFonts w:ascii="Times New Roman" w:hAnsi="Times New Roman" w:cs="Times New Roman"/>
          <w:sz w:val="20"/>
          <w:szCs w:val="20"/>
        </w:rPr>
        <w:t>mean</w:t>
      </w:r>
      <w:proofErr w:type="gramEnd"/>
      <w:r w:rsidRPr="003C05E7">
        <w:rPr>
          <w:rFonts w:ascii="Times New Roman" w:hAnsi="Times New Roman" w:cs="Times New Roman"/>
          <w:sz w:val="20"/>
          <w:szCs w:val="20"/>
        </w:rPr>
        <w:t xml:space="preserve"> (25.34 ± 4.32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This is consistent with observations in other Basement Complex terrains where undisturbed soils can </w:t>
      </w:r>
      <w:r w:rsidRPr="003C05E7">
        <w:rPr>
          <w:rFonts w:ascii="Times New Roman" w:hAnsi="Times New Roman" w:cs="Times New Roman"/>
          <w:sz w:val="20"/>
          <w:szCs w:val="20"/>
        </w:rPr>
        <w:t xml:space="preserve">retain uranium-series radionuclides through sorption onto iron oxides and clay minerals, while quarrying-induced mechanical disaggregation and surface runoff at the active site may </w:t>
      </w:r>
      <w:proofErr w:type="spellStart"/>
      <w:r w:rsidRPr="003C05E7">
        <w:rPr>
          <w:rFonts w:ascii="Times New Roman" w:hAnsi="Times New Roman" w:cs="Times New Roman"/>
          <w:sz w:val="20"/>
          <w:szCs w:val="20"/>
        </w:rPr>
        <w:t>mobilise</w:t>
      </w:r>
      <w:proofErr w:type="spellEnd"/>
      <w:r w:rsidRPr="003C05E7">
        <w:rPr>
          <w:rFonts w:ascii="Times New Roman" w:hAnsi="Times New Roman" w:cs="Times New Roman"/>
          <w:sz w:val="20"/>
          <w:szCs w:val="20"/>
        </w:rPr>
        <w:t xml:space="preserve"> and partially remove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from the sampling horizon (Farai, 2007; Bello et al., 2022). The elevated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and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K at the quarry relative to the control site nevertheless confirm net NORM enhancement from quarrying operations.</w:t>
      </w:r>
    </w:p>
    <w:p w14:paraId="021EDB99" w14:textId="77777777" w:rsidR="00A37752" w:rsidRDefault="003C05E7" w:rsidP="00A37752">
      <w:pPr>
        <w:spacing w:after="0" w:line="240" w:lineRule="auto"/>
        <w:jc w:val="both"/>
        <w:rPr>
          <w:rFonts w:ascii="Times New Roman" w:hAnsi="Times New Roman" w:cs="Times New Roman"/>
          <w:sz w:val="20"/>
          <w:szCs w:val="20"/>
        </w:rPr>
        <w:sectPr w:rsidR="00A37752" w:rsidSect="00A37752">
          <w:type w:val="continuous"/>
          <w:pgSz w:w="12242" w:h="15842" w:code="1"/>
          <w:pgMar w:top="1440" w:right="1440" w:bottom="1440" w:left="1440" w:header="709" w:footer="709" w:gutter="0"/>
          <w:cols w:num="2" w:space="288"/>
          <w:docGrid w:linePitch="360"/>
        </w:sectPr>
      </w:pPr>
      <w:r w:rsidRPr="003C05E7">
        <w:rPr>
          <w:rFonts w:ascii="Times New Roman" w:hAnsi="Times New Roman" w:cs="Times New Roman"/>
          <w:sz w:val="20"/>
          <w:szCs w:val="20"/>
        </w:rPr>
        <w:t xml:space="preserve">Comparing with UNSCEAR (2000) world average values — 400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 xml:space="preserve">K), 35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and 30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 all six quarry sampling points recorded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 xml:space="preserve">K and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concentrations above the world average, ranging from 718.42 to 1110.05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and 59.27 to 95.57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respectively.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remained below the world average at five of the six points, except for QPT6 (46.19 ± 3.88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which likely reflects </w:t>
      </w:r>
      <w:proofErr w:type="spellStart"/>
      <w:r w:rsidRPr="003C05E7">
        <w:rPr>
          <w:rFonts w:ascii="Times New Roman" w:hAnsi="Times New Roman" w:cs="Times New Roman"/>
          <w:sz w:val="20"/>
          <w:szCs w:val="20"/>
        </w:rPr>
        <w:t>localised</w:t>
      </w:r>
      <w:proofErr w:type="spellEnd"/>
      <w:r w:rsidRPr="003C05E7">
        <w:rPr>
          <w:rFonts w:ascii="Times New Roman" w:hAnsi="Times New Roman" w:cs="Times New Roman"/>
          <w:sz w:val="20"/>
          <w:szCs w:val="20"/>
        </w:rPr>
        <w:t xml:space="preserve"> geological enrichment or preferential </w:t>
      </w:r>
      <w:proofErr w:type="spellStart"/>
      <w:r w:rsidRPr="003C05E7">
        <w:rPr>
          <w:rFonts w:ascii="Times New Roman" w:hAnsi="Times New Roman" w:cs="Times New Roman"/>
          <w:sz w:val="20"/>
          <w:szCs w:val="20"/>
        </w:rPr>
        <w:t>mobilisation</w:t>
      </w:r>
      <w:proofErr w:type="spellEnd"/>
      <w:r w:rsidRPr="003C05E7">
        <w:rPr>
          <w:rFonts w:ascii="Times New Roman" w:hAnsi="Times New Roman" w:cs="Times New Roman"/>
          <w:sz w:val="20"/>
          <w:szCs w:val="20"/>
        </w:rPr>
        <w:t xml:space="preserve"> of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Ra from uranium-series mineral phases at that quarrying face (Bello et al., 2022; Farai, 2007). These findings are consistent with studies from other Nigerian granite quarry sites (</w:t>
      </w:r>
      <w:proofErr w:type="spellStart"/>
      <w:r w:rsidRPr="003C05E7">
        <w:rPr>
          <w:rFonts w:ascii="Times New Roman" w:hAnsi="Times New Roman" w:cs="Times New Roman"/>
          <w:sz w:val="20"/>
          <w:szCs w:val="20"/>
        </w:rPr>
        <w:t>Ofomola</w:t>
      </w:r>
      <w:proofErr w:type="spellEnd"/>
      <w:r w:rsidRPr="003C05E7">
        <w:rPr>
          <w:rFonts w:ascii="Times New Roman" w:hAnsi="Times New Roman" w:cs="Times New Roman"/>
          <w:sz w:val="20"/>
          <w:szCs w:val="20"/>
        </w:rPr>
        <w:t xml:space="preserve"> et al., 2023; </w:t>
      </w:r>
      <w:proofErr w:type="spellStart"/>
      <w:r w:rsidRPr="003C05E7">
        <w:rPr>
          <w:rFonts w:ascii="Times New Roman" w:hAnsi="Times New Roman" w:cs="Times New Roman"/>
          <w:sz w:val="20"/>
          <w:szCs w:val="20"/>
        </w:rPr>
        <w:t>Jegede</w:t>
      </w:r>
      <w:proofErr w:type="spellEnd"/>
      <w:r w:rsidRPr="003C05E7">
        <w:rPr>
          <w:rFonts w:ascii="Times New Roman" w:hAnsi="Times New Roman" w:cs="Times New Roman"/>
          <w:sz w:val="20"/>
          <w:szCs w:val="20"/>
        </w:rPr>
        <w:t xml:space="preserve"> et al., 2025).</w:t>
      </w:r>
    </w:p>
    <w:p w14:paraId="2DC8BF79" w14:textId="77777777" w:rsidR="00A37752" w:rsidRPr="003C05E7" w:rsidRDefault="00A37752" w:rsidP="003C05E7">
      <w:pPr>
        <w:spacing w:after="0" w:line="240" w:lineRule="auto"/>
        <w:jc w:val="both"/>
        <w:rPr>
          <w:rFonts w:ascii="Times New Roman" w:hAnsi="Times New Roman" w:cs="Times New Roman"/>
          <w:sz w:val="20"/>
          <w:szCs w:val="20"/>
        </w:rPr>
      </w:pPr>
    </w:p>
    <w:p w14:paraId="5A43241A" w14:textId="72B001B2" w:rsidR="003C05E7" w:rsidRPr="003C05E7" w:rsidRDefault="003C05E7" w:rsidP="003C05E7">
      <w:pPr>
        <w:spacing w:after="0" w:line="240" w:lineRule="auto"/>
        <w:rPr>
          <w:rFonts w:ascii="Times New Roman" w:hAnsi="Times New Roman" w:cs="Times New Roman"/>
          <w:sz w:val="20"/>
          <w:szCs w:val="20"/>
        </w:rPr>
      </w:pPr>
      <w:r w:rsidRPr="003C05E7">
        <w:rPr>
          <w:rFonts w:ascii="Times New Roman" w:hAnsi="Times New Roman" w:cs="Times New Roman"/>
          <w:b/>
          <w:bCs/>
          <w:sz w:val="20"/>
          <w:szCs w:val="20"/>
        </w:rPr>
        <w:lastRenderedPageBreak/>
        <w:t>Table 3a</w:t>
      </w:r>
      <w:r w:rsidR="002C384C">
        <w:rPr>
          <w:rFonts w:ascii="Times New Roman" w:hAnsi="Times New Roman" w:cs="Times New Roman"/>
          <w:b/>
          <w:bCs/>
          <w:sz w:val="20"/>
          <w:szCs w:val="20"/>
        </w:rPr>
        <w:t>:</w:t>
      </w:r>
      <w:r w:rsidRPr="003C05E7">
        <w:rPr>
          <w:rFonts w:ascii="Times New Roman" w:hAnsi="Times New Roman" w:cs="Times New Roman"/>
          <w:b/>
          <w:bCs/>
          <w:sz w:val="20"/>
          <w:szCs w:val="20"/>
        </w:rPr>
        <w:t xml:space="preserve"> Activity </w:t>
      </w:r>
      <w:r w:rsidR="002C384C" w:rsidRPr="003C05E7">
        <w:rPr>
          <w:rFonts w:ascii="Times New Roman" w:hAnsi="Times New Roman" w:cs="Times New Roman"/>
          <w:b/>
          <w:bCs/>
          <w:sz w:val="20"/>
          <w:szCs w:val="20"/>
        </w:rPr>
        <w:t xml:space="preserve">Concentrations </w:t>
      </w:r>
      <w:r w:rsidRPr="003C05E7">
        <w:rPr>
          <w:rFonts w:ascii="Times New Roman" w:hAnsi="Times New Roman" w:cs="Times New Roman"/>
          <w:b/>
          <w:bCs/>
          <w:sz w:val="20"/>
          <w:szCs w:val="20"/>
        </w:rPr>
        <w:t>of ⁴⁰K, ²²</w:t>
      </w:r>
      <w:r w:rsidRPr="003C05E7">
        <w:rPr>
          <w:rFonts w:ascii="Times New Roman" w:eastAsia="MS Gothic" w:hAnsi="Times New Roman" w:cs="Times New Roman"/>
          <w:b/>
          <w:bCs/>
          <w:sz w:val="20"/>
          <w:szCs w:val="20"/>
        </w:rPr>
        <w:t>⁶</w:t>
      </w:r>
      <w:r w:rsidRPr="003C05E7">
        <w:rPr>
          <w:rFonts w:ascii="Times New Roman" w:hAnsi="Times New Roman" w:cs="Times New Roman"/>
          <w:b/>
          <w:bCs/>
          <w:sz w:val="20"/>
          <w:szCs w:val="20"/>
        </w:rPr>
        <w:t xml:space="preserve">Ra, and ²³²Th in </w:t>
      </w:r>
      <w:r w:rsidR="002C384C" w:rsidRPr="003C05E7">
        <w:rPr>
          <w:rFonts w:ascii="Times New Roman" w:hAnsi="Times New Roman" w:cs="Times New Roman"/>
          <w:b/>
          <w:bCs/>
          <w:sz w:val="20"/>
          <w:szCs w:val="20"/>
        </w:rPr>
        <w:t>Soil Samples</w:t>
      </w:r>
    </w:p>
    <w:tbl>
      <w:tblPr>
        <w:tblStyle w:val="ListTable6Colorful"/>
        <w:tblW w:w="5000" w:type="pct"/>
        <w:tblLook w:val="0620" w:firstRow="1" w:lastRow="0" w:firstColumn="0" w:lastColumn="0" w:noHBand="1" w:noVBand="1"/>
      </w:tblPr>
      <w:tblGrid>
        <w:gridCol w:w="685"/>
        <w:gridCol w:w="1474"/>
        <w:gridCol w:w="1502"/>
        <w:gridCol w:w="985"/>
        <w:gridCol w:w="1361"/>
        <w:gridCol w:w="1009"/>
        <w:gridCol w:w="1361"/>
        <w:gridCol w:w="985"/>
      </w:tblGrid>
      <w:tr w:rsidR="003C05E7" w:rsidRPr="003C05E7" w14:paraId="49A4DC64" w14:textId="77777777" w:rsidTr="002C384C">
        <w:trPr>
          <w:cnfStyle w:val="100000000000" w:firstRow="1" w:lastRow="0" w:firstColumn="0" w:lastColumn="0" w:oddVBand="0" w:evenVBand="0" w:oddHBand="0" w:evenHBand="0" w:firstRowFirstColumn="0" w:firstRowLastColumn="0" w:lastRowFirstColumn="0" w:lastRowLastColumn="0"/>
          <w:trHeight w:val="230"/>
          <w:tblHeader/>
        </w:trPr>
        <w:tc>
          <w:tcPr>
            <w:tcW w:w="366" w:type="pct"/>
            <w:tcBorders>
              <w:top w:val="single" w:sz="4" w:space="0" w:color="000000" w:themeColor="text1"/>
              <w:left w:val="nil"/>
              <w:right w:val="nil"/>
            </w:tcBorders>
            <w:hideMark/>
          </w:tcPr>
          <w:p w14:paraId="5CCCD71B"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S/No</w:t>
            </w:r>
          </w:p>
        </w:tc>
        <w:tc>
          <w:tcPr>
            <w:tcW w:w="787" w:type="pct"/>
            <w:tcBorders>
              <w:top w:val="single" w:sz="4" w:space="0" w:color="000000" w:themeColor="text1"/>
              <w:left w:val="nil"/>
              <w:right w:val="nil"/>
            </w:tcBorders>
            <w:hideMark/>
          </w:tcPr>
          <w:p w14:paraId="39650299"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Location</w:t>
            </w:r>
          </w:p>
        </w:tc>
        <w:tc>
          <w:tcPr>
            <w:tcW w:w="802" w:type="pct"/>
            <w:tcBorders>
              <w:top w:val="single" w:sz="4" w:space="0" w:color="000000" w:themeColor="text1"/>
              <w:left w:val="nil"/>
              <w:right w:val="nil"/>
            </w:tcBorders>
            <w:hideMark/>
          </w:tcPr>
          <w:p w14:paraId="73216E9C"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⁴⁰K (</w:t>
            </w:r>
            <w:proofErr w:type="spellStart"/>
            <w:r w:rsidRPr="00E82B09">
              <w:rPr>
                <w:rFonts w:ascii="Times New Roman" w:hAnsi="Times New Roman" w:cs="Times New Roman"/>
                <w:bCs w:val="0"/>
                <w:color w:val="000000"/>
                <w:sz w:val="18"/>
                <w:szCs w:val="18"/>
              </w:rPr>
              <w:t>Bq</w:t>
            </w:r>
            <w:proofErr w:type="spellEnd"/>
            <w:r w:rsidRPr="00E82B09">
              <w:rPr>
                <w:rFonts w:ascii="Times New Roman" w:hAnsi="Times New Roman" w:cs="Times New Roman"/>
                <w:bCs w:val="0"/>
                <w:color w:val="000000"/>
                <w:sz w:val="18"/>
                <w:szCs w:val="18"/>
              </w:rPr>
              <w:t xml:space="preserve"> kg</w:t>
            </w:r>
            <w:r w:rsidRPr="00E82B09">
              <w:rPr>
                <w:rFonts w:ascii="Times New Roman" w:eastAsia="MS Gothic" w:hAnsi="Times New Roman" w:cs="Times New Roman"/>
                <w:bCs w:val="0"/>
                <w:color w:val="000000"/>
                <w:sz w:val="18"/>
                <w:szCs w:val="18"/>
              </w:rPr>
              <w:t>⁻</w:t>
            </w:r>
            <w:r w:rsidRPr="00E82B09">
              <w:rPr>
                <w:rFonts w:ascii="Times New Roman" w:hAnsi="Times New Roman" w:cs="Times New Roman"/>
                <w:bCs w:val="0"/>
                <w:color w:val="000000"/>
                <w:sz w:val="18"/>
                <w:szCs w:val="18"/>
              </w:rPr>
              <w:t>¹)</w:t>
            </w:r>
          </w:p>
        </w:tc>
        <w:tc>
          <w:tcPr>
            <w:tcW w:w="526" w:type="pct"/>
            <w:tcBorders>
              <w:top w:val="single" w:sz="4" w:space="0" w:color="000000" w:themeColor="text1"/>
              <w:left w:val="nil"/>
              <w:right w:val="nil"/>
            </w:tcBorders>
            <w:hideMark/>
          </w:tcPr>
          <w:p w14:paraId="649D5E5D"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Status</w:t>
            </w:r>
          </w:p>
        </w:tc>
        <w:tc>
          <w:tcPr>
            <w:tcW w:w="727" w:type="pct"/>
            <w:tcBorders>
              <w:top w:val="single" w:sz="4" w:space="0" w:color="000000" w:themeColor="text1"/>
              <w:left w:val="nil"/>
              <w:right w:val="nil"/>
            </w:tcBorders>
            <w:hideMark/>
          </w:tcPr>
          <w:p w14:paraId="043A1431"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²²</w:t>
            </w:r>
            <w:r w:rsidRPr="00E82B09">
              <w:rPr>
                <w:rFonts w:ascii="Times New Roman" w:eastAsia="MS Gothic" w:hAnsi="Times New Roman" w:cs="Times New Roman"/>
                <w:bCs w:val="0"/>
                <w:color w:val="000000"/>
                <w:sz w:val="18"/>
                <w:szCs w:val="18"/>
              </w:rPr>
              <w:t>⁶</w:t>
            </w:r>
            <w:r w:rsidRPr="00E82B09">
              <w:rPr>
                <w:rFonts w:ascii="Times New Roman" w:hAnsi="Times New Roman" w:cs="Times New Roman"/>
                <w:bCs w:val="0"/>
                <w:color w:val="000000"/>
                <w:sz w:val="18"/>
                <w:szCs w:val="18"/>
              </w:rPr>
              <w:t>Ra (</w:t>
            </w:r>
            <w:proofErr w:type="spellStart"/>
            <w:r w:rsidRPr="00E82B09">
              <w:rPr>
                <w:rFonts w:ascii="Times New Roman" w:hAnsi="Times New Roman" w:cs="Times New Roman"/>
                <w:bCs w:val="0"/>
                <w:color w:val="000000"/>
                <w:sz w:val="18"/>
                <w:szCs w:val="18"/>
              </w:rPr>
              <w:t>Bq</w:t>
            </w:r>
            <w:proofErr w:type="spellEnd"/>
            <w:r w:rsidRPr="00E82B09">
              <w:rPr>
                <w:rFonts w:ascii="Times New Roman" w:hAnsi="Times New Roman" w:cs="Times New Roman"/>
                <w:bCs w:val="0"/>
                <w:color w:val="000000"/>
                <w:sz w:val="18"/>
                <w:szCs w:val="18"/>
              </w:rPr>
              <w:t xml:space="preserve"> kg</w:t>
            </w:r>
            <w:r w:rsidRPr="00E82B09">
              <w:rPr>
                <w:rFonts w:ascii="Times New Roman" w:eastAsia="MS Gothic" w:hAnsi="Times New Roman" w:cs="Times New Roman"/>
                <w:bCs w:val="0"/>
                <w:color w:val="000000"/>
                <w:sz w:val="18"/>
                <w:szCs w:val="18"/>
              </w:rPr>
              <w:t>⁻</w:t>
            </w:r>
            <w:r w:rsidRPr="00E82B09">
              <w:rPr>
                <w:rFonts w:ascii="Times New Roman" w:hAnsi="Times New Roman" w:cs="Times New Roman"/>
                <w:bCs w:val="0"/>
                <w:color w:val="000000"/>
                <w:sz w:val="18"/>
                <w:szCs w:val="18"/>
              </w:rPr>
              <w:t>¹)</w:t>
            </w:r>
          </w:p>
        </w:tc>
        <w:tc>
          <w:tcPr>
            <w:tcW w:w="539" w:type="pct"/>
            <w:tcBorders>
              <w:top w:val="single" w:sz="4" w:space="0" w:color="000000" w:themeColor="text1"/>
              <w:left w:val="nil"/>
              <w:right w:val="nil"/>
            </w:tcBorders>
            <w:hideMark/>
          </w:tcPr>
          <w:p w14:paraId="43255FB0"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Status</w:t>
            </w:r>
          </w:p>
        </w:tc>
        <w:tc>
          <w:tcPr>
            <w:tcW w:w="727" w:type="pct"/>
            <w:tcBorders>
              <w:top w:val="single" w:sz="4" w:space="0" w:color="000000" w:themeColor="text1"/>
              <w:left w:val="nil"/>
              <w:right w:val="nil"/>
            </w:tcBorders>
            <w:hideMark/>
          </w:tcPr>
          <w:p w14:paraId="0BD4AC25"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²³²Th (</w:t>
            </w:r>
            <w:proofErr w:type="spellStart"/>
            <w:r w:rsidRPr="00E82B09">
              <w:rPr>
                <w:rFonts w:ascii="Times New Roman" w:hAnsi="Times New Roman" w:cs="Times New Roman"/>
                <w:bCs w:val="0"/>
                <w:color w:val="000000"/>
                <w:sz w:val="18"/>
                <w:szCs w:val="18"/>
              </w:rPr>
              <w:t>Bq</w:t>
            </w:r>
            <w:proofErr w:type="spellEnd"/>
            <w:r w:rsidRPr="00E82B09">
              <w:rPr>
                <w:rFonts w:ascii="Times New Roman" w:hAnsi="Times New Roman" w:cs="Times New Roman"/>
                <w:bCs w:val="0"/>
                <w:color w:val="000000"/>
                <w:sz w:val="18"/>
                <w:szCs w:val="18"/>
              </w:rPr>
              <w:t xml:space="preserve"> kg</w:t>
            </w:r>
            <w:r w:rsidRPr="00E82B09">
              <w:rPr>
                <w:rFonts w:ascii="Times New Roman" w:eastAsia="MS Gothic" w:hAnsi="Times New Roman" w:cs="Times New Roman"/>
                <w:bCs w:val="0"/>
                <w:color w:val="000000"/>
                <w:sz w:val="18"/>
                <w:szCs w:val="18"/>
              </w:rPr>
              <w:t>⁻</w:t>
            </w:r>
            <w:r w:rsidRPr="00E82B09">
              <w:rPr>
                <w:rFonts w:ascii="Times New Roman" w:hAnsi="Times New Roman" w:cs="Times New Roman"/>
                <w:bCs w:val="0"/>
                <w:color w:val="000000"/>
                <w:sz w:val="18"/>
                <w:szCs w:val="18"/>
              </w:rPr>
              <w:t>¹)</w:t>
            </w:r>
          </w:p>
        </w:tc>
        <w:tc>
          <w:tcPr>
            <w:tcW w:w="526" w:type="pct"/>
            <w:tcBorders>
              <w:top w:val="single" w:sz="4" w:space="0" w:color="000000" w:themeColor="text1"/>
              <w:left w:val="nil"/>
              <w:right w:val="nil"/>
            </w:tcBorders>
            <w:hideMark/>
          </w:tcPr>
          <w:p w14:paraId="78DCCCAC"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Status</w:t>
            </w:r>
          </w:p>
        </w:tc>
      </w:tr>
      <w:tr w:rsidR="003C05E7" w:rsidRPr="003C05E7" w14:paraId="5007527A" w14:textId="77777777" w:rsidTr="002C384C">
        <w:trPr>
          <w:trHeight w:val="230"/>
        </w:trPr>
        <w:tc>
          <w:tcPr>
            <w:tcW w:w="366" w:type="pct"/>
            <w:tcBorders>
              <w:top w:val="nil"/>
              <w:left w:val="nil"/>
              <w:bottom w:val="nil"/>
              <w:right w:val="nil"/>
            </w:tcBorders>
            <w:hideMark/>
          </w:tcPr>
          <w:p w14:paraId="54A7D68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w:t>
            </w:r>
          </w:p>
        </w:tc>
        <w:tc>
          <w:tcPr>
            <w:tcW w:w="787" w:type="pct"/>
            <w:tcBorders>
              <w:top w:val="nil"/>
              <w:left w:val="nil"/>
              <w:bottom w:val="nil"/>
              <w:right w:val="nil"/>
            </w:tcBorders>
            <w:hideMark/>
          </w:tcPr>
          <w:p w14:paraId="45DE9A1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QPT1</w:t>
            </w:r>
          </w:p>
        </w:tc>
        <w:tc>
          <w:tcPr>
            <w:tcW w:w="802" w:type="pct"/>
            <w:tcBorders>
              <w:top w:val="nil"/>
              <w:left w:val="nil"/>
              <w:bottom w:val="nil"/>
              <w:right w:val="nil"/>
            </w:tcBorders>
            <w:hideMark/>
          </w:tcPr>
          <w:p w14:paraId="07CB41E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989.99 ± 11.09</w:t>
            </w:r>
          </w:p>
        </w:tc>
        <w:tc>
          <w:tcPr>
            <w:tcW w:w="526" w:type="pct"/>
            <w:tcBorders>
              <w:top w:val="nil"/>
              <w:left w:val="nil"/>
              <w:bottom w:val="nil"/>
              <w:right w:val="nil"/>
            </w:tcBorders>
            <w:hideMark/>
          </w:tcPr>
          <w:p w14:paraId="1BABD59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c>
          <w:tcPr>
            <w:tcW w:w="727" w:type="pct"/>
            <w:tcBorders>
              <w:top w:val="nil"/>
              <w:left w:val="nil"/>
              <w:bottom w:val="nil"/>
              <w:right w:val="nil"/>
            </w:tcBorders>
            <w:hideMark/>
          </w:tcPr>
          <w:p w14:paraId="2A2DF52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19.63 ± 1.89</w:t>
            </w:r>
          </w:p>
        </w:tc>
        <w:tc>
          <w:tcPr>
            <w:tcW w:w="539" w:type="pct"/>
            <w:tcBorders>
              <w:top w:val="nil"/>
              <w:left w:val="nil"/>
              <w:bottom w:val="nil"/>
              <w:right w:val="nil"/>
            </w:tcBorders>
            <w:hideMark/>
          </w:tcPr>
          <w:p w14:paraId="4023615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Below</w:t>
            </w:r>
          </w:p>
        </w:tc>
        <w:tc>
          <w:tcPr>
            <w:tcW w:w="727" w:type="pct"/>
            <w:tcBorders>
              <w:top w:val="nil"/>
              <w:left w:val="nil"/>
              <w:bottom w:val="nil"/>
              <w:right w:val="nil"/>
            </w:tcBorders>
            <w:hideMark/>
          </w:tcPr>
          <w:p w14:paraId="285B187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72.47 ± 3.59</w:t>
            </w:r>
          </w:p>
        </w:tc>
        <w:tc>
          <w:tcPr>
            <w:tcW w:w="526" w:type="pct"/>
            <w:tcBorders>
              <w:top w:val="nil"/>
              <w:left w:val="nil"/>
              <w:bottom w:val="nil"/>
              <w:right w:val="nil"/>
            </w:tcBorders>
            <w:hideMark/>
          </w:tcPr>
          <w:p w14:paraId="49C61B0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r>
      <w:tr w:rsidR="003C05E7" w:rsidRPr="003C05E7" w14:paraId="7D0D8A32" w14:textId="77777777" w:rsidTr="002C384C">
        <w:trPr>
          <w:trHeight w:val="230"/>
        </w:trPr>
        <w:tc>
          <w:tcPr>
            <w:tcW w:w="366" w:type="pct"/>
            <w:tcBorders>
              <w:top w:val="nil"/>
              <w:left w:val="nil"/>
              <w:bottom w:val="nil"/>
              <w:right w:val="nil"/>
            </w:tcBorders>
            <w:hideMark/>
          </w:tcPr>
          <w:p w14:paraId="43F3ECF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w:t>
            </w:r>
          </w:p>
        </w:tc>
        <w:tc>
          <w:tcPr>
            <w:tcW w:w="787" w:type="pct"/>
            <w:tcBorders>
              <w:top w:val="nil"/>
              <w:left w:val="nil"/>
              <w:bottom w:val="nil"/>
              <w:right w:val="nil"/>
            </w:tcBorders>
            <w:hideMark/>
          </w:tcPr>
          <w:p w14:paraId="7FD7512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QPT2</w:t>
            </w:r>
          </w:p>
        </w:tc>
        <w:tc>
          <w:tcPr>
            <w:tcW w:w="802" w:type="pct"/>
            <w:tcBorders>
              <w:top w:val="nil"/>
              <w:left w:val="nil"/>
              <w:bottom w:val="nil"/>
              <w:right w:val="nil"/>
            </w:tcBorders>
            <w:hideMark/>
          </w:tcPr>
          <w:p w14:paraId="0250CAD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866.27 ± 10.40</w:t>
            </w:r>
          </w:p>
        </w:tc>
        <w:tc>
          <w:tcPr>
            <w:tcW w:w="526" w:type="pct"/>
            <w:tcBorders>
              <w:top w:val="nil"/>
              <w:left w:val="nil"/>
              <w:bottom w:val="nil"/>
              <w:right w:val="nil"/>
            </w:tcBorders>
            <w:hideMark/>
          </w:tcPr>
          <w:p w14:paraId="708352A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c>
          <w:tcPr>
            <w:tcW w:w="727" w:type="pct"/>
            <w:tcBorders>
              <w:top w:val="nil"/>
              <w:left w:val="nil"/>
              <w:bottom w:val="nil"/>
              <w:right w:val="nil"/>
            </w:tcBorders>
            <w:hideMark/>
          </w:tcPr>
          <w:p w14:paraId="7905DC3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25.66 ± 1.99</w:t>
            </w:r>
          </w:p>
        </w:tc>
        <w:tc>
          <w:tcPr>
            <w:tcW w:w="539" w:type="pct"/>
            <w:tcBorders>
              <w:top w:val="nil"/>
              <w:left w:val="nil"/>
              <w:bottom w:val="nil"/>
              <w:right w:val="nil"/>
            </w:tcBorders>
            <w:hideMark/>
          </w:tcPr>
          <w:p w14:paraId="70DEAA0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Below</w:t>
            </w:r>
          </w:p>
        </w:tc>
        <w:tc>
          <w:tcPr>
            <w:tcW w:w="727" w:type="pct"/>
            <w:tcBorders>
              <w:top w:val="nil"/>
              <w:left w:val="nil"/>
              <w:bottom w:val="nil"/>
              <w:right w:val="nil"/>
            </w:tcBorders>
            <w:hideMark/>
          </w:tcPr>
          <w:p w14:paraId="292D023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80.09 ± 4.43</w:t>
            </w:r>
          </w:p>
        </w:tc>
        <w:tc>
          <w:tcPr>
            <w:tcW w:w="526" w:type="pct"/>
            <w:tcBorders>
              <w:top w:val="nil"/>
              <w:left w:val="nil"/>
              <w:bottom w:val="nil"/>
              <w:right w:val="nil"/>
            </w:tcBorders>
            <w:hideMark/>
          </w:tcPr>
          <w:p w14:paraId="3EB9E83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r>
      <w:tr w:rsidR="003C05E7" w:rsidRPr="003C05E7" w14:paraId="76CD0B8E" w14:textId="77777777" w:rsidTr="002C384C">
        <w:trPr>
          <w:trHeight w:val="230"/>
        </w:trPr>
        <w:tc>
          <w:tcPr>
            <w:tcW w:w="366" w:type="pct"/>
            <w:tcBorders>
              <w:top w:val="nil"/>
              <w:left w:val="nil"/>
              <w:bottom w:val="nil"/>
              <w:right w:val="nil"/>
            </w:tcBorders>
            <w:hideMark/>
          </w:tcPr>
          <w:p w14:paraId="0B7B9DA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w:t>
            </w:r>
          </w:p>
        </w:tc>
        <w:tc>
          <w:tcPr>
            <w:tcW w:w="787" w:type="pct"/>
            <w:tcBorders>
              <w:top w:val="nil"/>
              <w:left w:val="nil"/>
              <w:bottom w:val="nil"/>
              <w:right w:val="nil"/>
            </w:tcBorders>
            <w:hideMark/>
          </w:tcPr>
          <w:p w14:paraId="205C8C8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QPT3</w:t>
            </w:r>
          </w:p>
        </w:tc>
        <w:tc>
          <w:tcPr>
            <w:tcW w:w="802" w:type="pct"/>
            <w:tcBorders>
              <w:top w:val="nil"/>
              <w:left w:val="nil"/>
              <w:bottom w:val="nil"/>
              <w:right w:val="nil"/>
            </w:tcBorders>
            <w:hideMark/>
          </w:tcPr>
          <w:p w14:paraId="1988D87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828.37 ± 9.47</w:t>
            </w:r>
          </w:p>
        </w:tc>
        <w:tc>
          <w:tcPr>
            <w:tcW w:w="526" w:type="pct"/>
            <w:tcBorders>
              <w:top w:val="nil"/>
              <w:left w:val="nil"/>
              <w:bottom w:val="nil"/>
              <w:right w:val="nil"/>
            </w:tcBorders>
            <w:hideMark/>
          </w:tcPr>
          <w:p w14:paraId="31E5F00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c>
          <w:tcPr>
            <w:tcW w:w="727" w:type="pct"/>
            <w:tcBorders>
              <w:top w:val="nil"/>
              <w:left w:val="nil"/>
              <w:bottom w:val="nil"/>
              <w:right w:val="nil"/>
            </w:tcBorders>
            <w:hideMark/>
          </w:tcPr>
          <w:p w14:paraId="5D36145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20.43 ± 2.29</w:t>
            </w:r>
          </w:p>
        </w:tc>
        <w:tc>
          <w:tcPr>
            <w:tcW w:w="539" w:type="pct"/>
            <w:tcBorders>
              <w:top w:val="nil"/>
              <w:left w:val="nil"/>
              <w:bottom w:val="nil"/>
              <w:right w:val="nil"/>
            </w:tcBorders>
            <w:hideMark/>
          </w:tcPr>
          <w:p w14:paraId="7EB7E2C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Below</w:t>
            </w:r>
          </w:p>
        </w:tc>
        <w:tc>
          <w:tcPr>
            <w:tcW w:w="727" w:type="pct"/>
            <w:tcBorders>
              <w:top w:val="nil"/>
              <w:left w:val="nil"/>
              <w:bottom w:val="nil"/>
              <w:right w:val="nil"/>
            </w:tcBorders>
            <w:hideMark/>
          </w:tcPr>
          <w:p w14:paraId="6F834EC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75.23 ± 3.26</w:t>
            </w:r>
          </w:p>
        </w:tc>
        <w:tc>
          <w:tcPr>
            <w:tcW w:w="526" w:type="pct"/>
            <w:tcBorders>
              <w:top w:val="nil"/>
              <w:left w:val="nil"/>
              <w:bottom w:val="nil"/>
              <w:right w:val="nil"/>
            </w:tcBorders>
            <w:hideMark/>
          </w:tcPr>
          <w:p w14:paraId="1B71C63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r>
      <w:tr w:rsidR="003C05E7" w:rsidRPr="003C05E7" w14:paraId="32EDF814" w14:textId="77777777" w:rsidTr="002C384C">
        <w:trPr>
          <w:trHeight w:val="230"/>
        </w:trPr>
        <w:tc>
          <w:tcPr>
            <w:tcW w:w="366" w:type="pct"/>
            <w:tcBorders>
              <w:top w:val="nil"/>
              <w:left w:val="nil"/>
              <w:bottom w:val="nil"/>
              <w:right w:val="nil"/>
            </w:tcBorders>
            <w:hideMark/>
          </w:tcPr>
          <w:p w14:paraId="33414AE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w:t>
            </w:r>
          </w:p>
        </w:tc>
        <w:tc>
          <w:tcPr>
            <w:tcW w:w="787" w:type="pct"/>
            <w:tcBorders>
              <w:top w:val="nil"/>
              <w:left w:val="nil"/>
              <w:bottom w:val="nil"/>
              <w:right w:val="nil"/>
            </w:tcBorders>
            <w:hideMark/>
          </w:tcPr>
          <w:p w14:paraId="6AE39E1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QPT4</w:t>
            </w:r>
          </w:p>
        </w:tc>
        <w:tc>
          <w:tcPr>
            <w:tcW w:w="802" w:type="pct"/>
            <w:tcBorders>
              <w:top w:val="nil"/>
              <w:left w:val="nil"/>
              <w:bottom w:val="nil"/>
              <w:right w:val="nil"/>
            </w:tcBorders>
            <w:hideMark/>
          </w:tcPr>
          <w:p w14:paraId="3934C33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1070.30 ± 10.73</w:t>
            </w:r>
          </w:p>
        </w:tc>
        <w:tc>
          <w:tcPr>
            <w:tcW w:w="526" w:type="pct"/>
            <w:tcBorders>
              <w:top w:val="nil"/>
              <w:left w:val="nil"/>
              <w:bottom w:val="nil"/>
              <w:right w:val="nil"/>
            </w:tcBorders>
            <w:hideMark/>
          </w:tcPr>
          <w:p w14:paraId="38317CA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c>
          <w:tcPr>
            <w:tcW w:w="727" w:type="pct"/>
            <w:tcBorders>
              <w:top w:val="nil"/>
              <w:left w:val="nil"/>
              <w:bottom w:val="nil"/>
              <w:right w:val="nil"/>
            </w:tcBorders>
            <w:hideMark/>
          </w:tcPr>
          <w:p w14:paraId="5D87050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22.56 ± 1.03</w:t>
            </w:r>
          </w:p>
        </w:tc>
        <w:tc>
          <w:tcPr>
            <w:tcW w:w="539" w:type="pct"/>
            <w:tcBorders>
              <w:top w:val="nil"/>
              <w:left w:val="nil"/>
              <w:bottom w:val="nil"/>
              <w:right w:val="nil"/>
            </w:tcBorders>
            <w:hideMark/>
          </w:tcPr>
          <w:p w14:paraId="1FD9B86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Below</w:t>
            </w:r>
          </w:p>
        </w:tc>
        <w:tc>
          <w:tcPr>
            <w:tcW w:w="727" w:type="pct"/>
            <w:tcBorders>
              <w:top w:val="nil"/>
              <w:left w:val="nil"/>
              <w:bottom w:val="nil"/>
              <w:right w:val="nil"/>
            </w:tcBorders>
            <w:hideMark/>
          </w:tcPr>
          <w:p w14:paraId="7E8380A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95.57 ± 4.68</w:t>
            </w:r>
          </w:p>
        </w:tc>
        <w:tc>
          <w:tcPr>
            <w:tcW w:w="526" w:type="pct"/>
            <w:tcBorders>
              <w:top w:val="nil"/>
              <w:left w:val="nil"/>
              <w:bottom w:val="nil"/>
              <w:right w:val="nil"/>
            </w:tcBorders>
            <w:hideMark/>
          </w:tcPr>
          <w:p w14:paraId="15ECA7C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r>
      <w:tr w:rsidR="003C05E7" w:rsidRPr="003C05E7" w14:paraId="456EC085" w14:textId="77777777" w:rsidTr="002C384C">
        <w:trPr>
          <w:trHeight w:val="230"/>
        </w:trPr>
        <w:tc>
          <w:tcPr>
            <w:tcW w:w="366" w:type="pct"/>
            <w:tcBorders>
              <w:top w:val="nil"/>
              <w:left w:val="nil"/>
              <w:bottom w:val="nil"/>
              <w:right w:val="nil"/>
            </w:tcBorders>
            <w:hideMark/>
          </w:tcPr>
          <w:p w14:paraId="6E52EF3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5</w:t>
            </w:r>
          </w:p>
        </w:tc>
        <w:tc>
          <w:tcPr>
            <w:tcW w:w="787" w:type="pct"/>
            <w:tcBorders>
              <w:top w:val="nil"/>
              <w:left w:val="nil"/>
              <w:bottom w:val="nil"/>
              <w:right w:val="nil"/>
            </w:tcBorders>
            <w:hideMark/>
          </w:tcPr>
          <w:p w14:paraId="7EB08DB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QPT5</w:t>
            </w:r>
          </w:p>
        </w:tc>
        <w:tc>
          <w:tcPr>
            <w:tcW w:w="802" w:type="pct"/>
            <w:tcBorders>
              <w:top w:val="nil"/>
              <w:left w:val="nil"/>
              <w:bottom w:val="nil"/>
              <w:right w:val="nil"/>
            </w:tcBorders>
            <w:hideMark/>
          </w:tcPr>
          <w:p w14:paraId="563972E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1110.05 ± 11.79</w:t>
            </w:r>
          </w:p>
        </w:tc>
        <w:tc>
          <w:tcPr>
            <w:tcW w:w="526" w:type="pct"/>
            <w:tcBorders>
              <w:top w:val="nil"/>
              <w:left w:val="nil"/>
              <w:bottom w:val="nil"/>
              <w:right w:val="nil"/>
            </w:tcBorders>
            <w:hideMark/>
          </w:tcPr>
          <w:p w14:paraId="74F9140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c>
          <w:tcPr>
            <w:tcW w:w="727" w:type="pct"/>
            <w:tcBorders>
              <w:top w:val="nil"/>
              <w:left w:val="nil"/>
              <w:bottom w:val="nil"/>
              <w:right w:val="nil"/>
            </w:tcBorders>
            <w:hideMark/>
          </w:tcPr>
          <w:p w14:paraId="1281444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17.54 ± 1.85</w:t>
            </w:r>
          </w:p>
        </w:tc>
        <w:tc>
          <w:tcPr>
            <w:tcW w:w="539" w:type="pct"/>
            <w:tcBorders>
              <w:top w:val="nil"/>
              <w:left w:val="nil"/>
              <w:bottom w:val="nil"/>
              <w:right w:val="nil"/>
            </w:tcBorders>
            <w:hideMark/>
          </w:tcPr>
          <w:p w14:paraId="0425307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Below</w:t>
            </w:r>
          </w:p>
        </w:tc>
        <w:tc>
          <w:tcPr>
            <w:tcW w:w="727" w:type="pct"/>
            <w:tcBorders>
              <w:top w:val="nil"/>
              <w:left w:val="nil"/>
              <w:bottom w:val="nil"/>
              <w:right w:val="nil"/>
            </w:tcBorders>
            <w:hideMark/>
          </w:tcPr>
          <w:p w14:paraId="21BFE79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75.03 ± 3.95</w:t>
            </w:r>
          </w:p>
        </w:tc>
        <w:tc>
          <w:tcPr>
            <w:tcW w:w="526" w:type="pct"/>
            <w:tcBorders>
              <w:top w:val="nil"/>
              <w:left w:val="nil"/>
              <w:bottom w:val="nil"/>
              <w:right w:val="nil"/>
            </w:tcBorders>
            <w:hideMark/>
          </w:tcPr>
          <w:p w14:paraId="5A2480D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r>
      <w:tr w:rsidR="003C05E7" w:rsidRPr="003C05E7" w14:paraId="7067B2F0" w14:textId="77777777" w:rsidTr="002C384C">
        <w:trPr>
          <w:trHeight w:val="230"/>
        </w:trPr>
        <w:tc>
          <w:tcPr>
            <w:tcW w:w="366" w:type="pct"/>
            <w:tcBorders>
              <w:top w:val="nil"/>
              <w:left w:val="nil"/>
              <w:bottom w:val="nil"/>
              <w:right w:val="nil"/>
            </w:tcBorders>
            <w:hideMark/>
          </w:tcPr>
          <w:p w14:paraId="44DC8C0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6</w:t>
            </w:r>
          </w:p>
        </w:tc>
        <w:tc>
          <w:tcPr>
            <w:tcW w:w="787" w:type="pct"/>
            <w:tcBorders>
              <w:top w:val="nil"/>
              <w:left w:val="nil"/>
              <w:bottom w:val="nil"/>
              <w:right w:val="nil"/>
            </w:tcBorders>
            <w:hideMark/>
          </w:tcPr>
          <w:p w14:paraId="5BF5B17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QPT6</w:t>
            </w:r>
          </w:p>
        </w:tc>
        <w:tc>
          <w:tcPr>
            <w:tcW w:w="802" w:type="pct"/>
            <w:tcBorders>
              <w:top w:val="nil"/>
              <w:left w:val="nil"/>
              <w:bottom w:val="nil"/>
              <w:right w:val="nil"/>
            </w:tcBorders>
            <w:hideMark/>
          </w:tcPr>
          <w:p w14:paraId="7BA67E9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718.42 ± 9.91</w:t>
            </w:r>
          </w:p>
        </w:tc>
        <w:tc>
          <w:tcPr>
            <w:tcW w:w="526" w:type="pct"/>
            <w:tcBorders>
              <w:top w:val="nil"/>
              <w:left w:val="nil"/>
              <w:bottom w:val="nil"/>
              <w:right w:val="nil"/>
            </w:tcBorders>
            <w:hideMark/>
          </w:tcPr>
          <w:p w14:paraId="3D536EE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c>
          <w:tcPr>
            <w:tcW w:w="727" w:type="pct"/>
            <w:tcBorders>
              <w:top w:val="nil"/>
              <w:left w:val="nil"/>
              <w:bottom w:val="nil"/>
              <w:right w:val="nil"/>
            </w:tcBorders>
            <w:hideMark/>
          </w:tcPr>
          <w:p w14:paraId="44D34E8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46.19 ± 3.88</w:t>
            </w:r>
          </w:p>
        </w:tc>
        <w:tc>
          <w:tcPr>
            <w:tcW w:w="539" w:type="pct"/>
            <w:tcBorders>
              <w:top w:val="nil"/>
              <w:left w:val="nil"/>
              <w:bottom w:val="nil"/>
              <w:right w:val="nil"/>
            </w:tcBorders>
            <w:hideMark/>
          </w:tcPr>
          <w:p w14:paraId="7978F92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c>
          <w:tcPr>
            <w:tcW w:w="727" w:type="pct"/>
            <w:tcBorders>
              <w:top w:val="nil"/>
              <w:left w:val="nil"/>
              <w:bottom w:val="nil"/>
              <w:right w:val="nil"/>
            </w:tcBorders>
            <w:hideMark/>
          </w:tcPr>
          <w:p w14:paraId="30FBDC2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59.27 ± 3.76</w:t>
            </w:r>
          </w:p>
        </w:tc>
        <w:tc>
          <w:tcPr>
            <w:tcW w:w="526" w:type="pct"/>
            <w:tcBorders>
              <w:top w:val="nil"/>
              <w:left w:val="nil"/>
              <w:bottom w:val="nil"/>
              <w:right w:val="nil"/>
            </w:tcBorders>
            <w:hideMark/>
          </w:tcPr>
          <w:p w14:paraId="493AD0C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Above</w:t>
            </w:r>
          </w:p>
        </w:tc>
      </w:tr>
      <w:tr w:rsidR="003C05E7" w:rsidRPr="003C05E7" w14:paraId="07AA13BA" w14:textId="77777777" w:rsidTr="002C384C">
        <w:trPr>
          <w:trHeight w:val="230"/>
        </w:trPr>
        <w:tc>
          <w:tcPr>
            <w:tcW w:w="366" w:type="pct"/>
            <w:tcBorders>
              <w:top w:val="nil"/>
              <w:left w:val="nil"/>
              <w:bottom w:val="nil"/>
              <w:right w:val="nil"/>
            </w:tcBorders>
            <w:hideMark/>
          </w:tcPr>
          <w:p w14:paraId="554882D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w:t>
            </w:r>
          </w:p>
        </w:tc>
        <w:tc>
          <w:tcPr>
            <w:tcW w:w="787" w:type="pct"/>
            <w:tcBorders>
              <w:top w:val="nil"/>
              <w:left w:val="nil"/>
              <w:bottom w:val="nil"/>
              <w:right w:val="nil"/>
            </w:tcBorders>
            <w:hideMark/>
          </w:tcPr>
          <w:p w14:paraId="59CF7FD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Control Site</w:t>
            </w:r>
          </w:p>
        </w:tc>
        <w:tc>
          <w:tcPr>
            <w:tcW w:w="802" w:type="pct"/>
            <w:tcBorders>
              <w:top w:val="nil"/>
              <w:left w:val="nil"/>
              <w:bottom w:val="nil"/>
              <w:right w:val="nil"/>
            </w:tcBorders>
            <w:hideMark/>
          </w:tcPr>
          <w:p w14:paraId="086834E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71.28 ± 5.63</w:t>
            </w:r>
          </w:p>
        </w:tc>
        <w:tc>
          <w:tcPr>
            <w:tcW w:w="526" w:type="pct"/>
            <w:tcBorders>
              <w:top w:val="nil"/>
              <w:left w:val="nil"/>
              <w:bottom w:val="nil"/>
              <w:right w:val="nil"/>
            </w:tcBorders>
            <w:hideMark/>
          </w:tcPr>
          <w:p w14:paraId="20C119B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Below</w:t>
            </w:r>
          </w:p>
        </w:tc>
        <w:tc>
          <w:tcPr>
            <w:tcW w:w="727" w:type="pct"/>
            <w:tcBorders>
              <w:top w:val="nil"/>
              <w:left w:val="nil"/>
              <w:bottom w:val="nil"/>
              <w:right w:val="nil"/>
            </w:tcBorders>
            <w:hideMark/>
          </w:tcPr>
          <w:p w14:paraId="2B045EF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31.94 ± 2.09</w:t>
            </w:r>
          </w:p>
        </w:tc>
        <w:tc>
          <w:tcPr>
            <w:tcW w:w="539" w:type="pct"/>
            <w:tcBorders>
              <w:top w:val="nil"/>
              <w:left w:val="nil"/>
              <w:bottom w:val="nil"/>
              <w:right w:val="nil"/>
            </w:tcBorders>
            <w:hideMark/>
          </w:tcPr>
          <w:p w14:paraId="61BD041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Below</w:t>
            </w:r>
          </w:p>
        </w:tc>
        <w:tc>
          <w:tcPr>
            <w:tcW w:w="727" w:type="pct"/>
            <w:tcBorders>
              <w:top w:val="nil"/>
              <w:left w:val="nil"/>
              <w:bottom w:val="nil"/>
              <w:right w:val="nil"/>
            </w:tcBorders>
            <w:hideMark/>
          </w:tcPr>
          <w:p w14:paraId="2B540EE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15.84 ± 1.26</w:t>
            </w:r>
          </w:p>
        </w:tc>
        <w:tc>
          <w:tcPr>
            <w:tcW w:w="526" w:type="pct"/>
            <w:tcBorders>
              <w:top w:val="nil"/>
              <w:left w:val="nil"/>
              <w:bottom w:val="nil"/>
              <w:right w:val="nil"/>
            </w:tcBorders>
            <w:hideMark/>
          </w:tcPr>
          <w:p w14:paraId="52CC6E2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Below</w:t>
            </w:r>
          </w:p>
        </w:tc>
      </w:tr>
      <w:tr w:rsidR="003C05E7" w:rsidRPr="003C05E7" w14:paraId="6C7627B1" w14:textId="77777777" w:rsidTr="002C384C">
        <w:trPr>
          <w:trHeight w:val="230"/>
        </w:trPr>
        <w:tc>
          <w:tcPr>
            <w:tcW w:w="366" w:type="pct"/>
            <w:tcBorders>
              <w:top w:val="nil"/>
              <w:left w:val="nil"/>
              <w:bottom w:val="nil"/>
              <w:right w:val="nil"/>
            </w:tcBorders>
          </w:tcPr>
          <w:p w14:paraId="22C38656" w14:textId="77777777" w:rsidR="003C05E7" w:rsidRPr="003C05E7" w:rsidRDefault="003C05E7" w:rsidP="003C05E7">
            <w:pPr>
              <w:rPr>
                <w:rFonts w:ascii="Times New Roman" w:hAnsi="Times New Roman" w:cs="Times New Roman"/>
                <w:color w:val="000000"/>
                <w:sz w:val="20"/>
                <w:szCs w:val="20"/>
              </w:rPr>
            </w:pPr>
          </w:p>
        </w:tc>
        <w:tc>
          <w:tcPr>
            <w:tcW w:w="787" w:type="pct"/>
            <w:tcBorders>
              <w:top w:val="nil"/>
              <w:left w:val="nil"/>
              <w:bottom w:val="nil"/>
              <w:right w:val="nil"/>
            </w:tcBorders>
            <w:hideMark/>
          </w:tcPr>
          <w:p w14:paraId="42055AD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Minimum</w:t>
            </w:r>
          </w:p>
        </w:tc>
        <w:tc>
          <w:tcPr>
            <w:tcW w:w="802" w:type="pct"/>
            <w:tcBorders>
              <w:top w:val="nil"/>
              <w:left w:val="nil"/>
              <w:bottom w:val="nil"/>
              <w:right w:val="nil"/>
            </w:tcBorders>
            <w:hideMark/>
          </w:tcPr>
          <w:p w14:paraId="627A125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71.28</w:t>
            </w:r>
          </w:p>
        </w:tc>
        <w:tc>
          <w:tcPr>
            <w:tcW w:w="526" w:type="pct"/>
            <w:tcBorders>
              <w:top w:val="nil"/>
              <w:left w:val="nil"/>
              <w:bottom w:val="nil"/>
              <w:right w:val="nil"/>
            </w:tcBorders>
            <w:hideMark/>
          </w:tcPr>
          <w:p w14:paraId="001F5F1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w:t>
            </w:r>
          </w:p>
        </w:tc>
        <w:tc>
          <w:tcPr>
            <w:tcW w:w="727" w:type="pct"/>
            <w:tcBorders>
              <w:top w:val="nil"/>
              <w:left w:val="nil"/>
              <w:bottom w:val="nil"/>
              <w:right w:val="nil"/>
            </w:tcBorders>
            <w:hideMark/>
          </w:tcPr>
          <w:p w14:paraId="4E8FBF0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17.54</w:t>
            </w:r>
          </w:p>
        </w:tc>
        <w:tc>
          <w:tcPr>
            <w:tcW w:w="539" w:type="pct"/>
            <w:tcBorders>
              <w:top w:val="nil"/>
              <w:left w:val="nil"/>
              <w:bottom w:val="nil"/>
              <w:right w:val="nil"/>
            </w:tcBorders>
            <w:hideMark/>
          </w:tcPr>
          <w:p w14:paraId="7B9F9EC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w:t>
            </w:r>
          </w:p>
        </w:tc>
        <w:tc>
          <w:tcPr>
            <w:tcW w:w="727" w:type="pct"/>
            <w:tcBorders>
              <w:top w:val="nil"/>
              <w:left w:val="nil"/>
              <w:bottom w:val="nil"/>
              <w:right w:val="nil"/>
            </w:tcBorders>
            <w:hideMark/>
          </w:tcPr>
          <w:p w14:paraId="359ADB2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15.84</w:t>
            </w:r>
          </w:p>
        </w:tc>
        <w:tc>
          <w:tcPr>
            <w:tcW w:w="526" w:type="pct"/>
            <w:tcBorders>
              <w:top w:val="nil"/>
              <w:left w:val="nil"/>
              <w:bottom w:val="nil"/>
              <w:right w:val="nil"/>
            </w:tcBorders>
            <w:hideMark/>
          </w:tcPr>
          <w:p w14:paraId="10D5930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w:t>
            </w:r>
          </w:p>
        </w:tc>
      </w:tr>
      <w:tr w:rsidR="003C05E7" w:rsidRPr="003C05E7" w14:paraId="66BB3764" w14:textId="77777777" w:rsidTr="002C384C">
        <w:trPr>
          <w:trHeight w:val="230"/>
        </w:trPr>
        <w:tc>
          <w:tcPr>
            <w:tcW w:w="366" w:type="pct"/>
            <w:tcBorders>
              <w:top w:val="nil"/>
              <w:left w:val="nil"/>
              <w:bottom w:val="nil"/>
              <w:right w:val="nil"/>
            </w:tcBorders>
          </w:tcPr>
          <w:p w14:paraId="0BDD9B54" w14:textId="77777777" w:rsidR="003C05E7" w:rsidRPr="003C05E7" w:rsidRDefault="003C05E7" w:rsidP="003C05E7">
            <w:pPr>
              <w:rPr>
                <w:rFonts w:ascii="Times New Roman" w:hAnsi="Times New Roman" w:cs="Times New Roman"/>
                <w:color w:val="000000"/>
                <w:sz w:val="20"/>
                <w:szCs w:val="20"/>
              </w:rPr>
            </w:pPr>
          </w:p>
        </w:tc>
        <w:tc>
          <w:tcPr>
            <w:tcW w:w="787" w:type="pct"/>
            <w:tcBorders>
              <w:top w:val="nil"/>
              <w:left w:val="nil"/>
              <w:bottom w:val="nil"/>
              <w:right w:val="nil"/>
            </w:tcBorders>
            <w:hideMark/>
          </w:tcPr>
          <w:p w14:paraId="4F9C99E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Maximum</w:t>
            </w:r>
          </w:p>
        </w:tc>
        <w:tc>
          <w:tcPr>
            <w:tcW w:w="802" w:type="pct"/>
            <w:tcBorders>
              <w:top w:val="nil"/>
              <w:left w:val="nil"/>
              <w:bottom w:val="nil"/>
              <w:right w:val="nil"/>
            </w:tcBorders>
            <w:hideMark/>
          </w:tcPr>
          <w:p w14:paraId="45C8986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1110.05</w:t>
            </w:r>
          </w:p>
        </w:tc>
        <w:tc>
          <w:tcPr>
            <w:tcW w:w="526" w:type="pct"/>
            <w:tcBorders>
              <w:top w:val="nil"/>
              <w:left w:val="nil"/>
              <w:bottom w:val="nil"/>
              <w:right w:val="nil"/>
            </w:tcBorders>
            <w:hideMark/>
          </w:tcPr>
          <w:p w14:paraId="3B8B28F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w:t>
            </w:r>
          </w:p>
        </w:tc>
        <w:tc>
          <w:tcPr>
            <w:tcW w:w="727" w:type="pct"/>
            <w:tcBorders>
              <w:top w:val="nil"/>
              <w:left w:val="nil"/>
              <w:bottom w:val="nil"/>
              <w:right w:val="nil"/>
            </w:tcBorders>
            <w:hideMark/>
          </w:tcPr>
          <w:p w14:paraId="64B06AF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46.19</w:t>
            </w:r>
          </w:p>
        </w:tc>
        <w:tc>
          <w:tcPr>
            <w:tcW w:w="539" w:type="pct"/>
            <w:tcBorders>
              <w:top w:val="nil"/>
              <w:left w:val="nil"/>
              <w:bottom w:val="nil"/>
              <w:right w:val="nil"/>
            </w:tcBorders>
            <w:hideMark/>
          </w:tcPr>
          <w:p w14:paraId="5F05807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w:t>
            </w:r>
          </w:p>
        </w:tc>
        <w:tc>
          <w:tcPr>
            <w:tcW w:w="727" w:type="pct"/>
            <w:tcBorders>
              <w:top w:val="nil"/>
              <w:left w:val="nil"/>
              <w:bottom w:val="nil"/>
              <w:right w:val="nil"/>
            </w:tcBorders>
            <w:hideMark/>
          </w:tcPr>
          <w:p w14:paraId="711F430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95.57</w:t>
            </w:r>
          </w:p>
        </w:tc>
        <w:tc>
          <w:tcPr>
            <w:tcW w:w="526" w:type="pct"/>
            <w:tcBorders>
              <w:top w:val="nil"/>
              <w:left w:val="nil"/>
              <w:bottom w:val="nil"/>
              <w:right w:val="nil"/>
            </w:tcBorders>
            <w:hideMark/>
          </w:tcPr>
          <w:p w14:paraId="575B5AE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w:t>
            </w:r>
          </w:p>
        </w:tc>
      </w:tr>
      <w:tr w:rsidR="003C05E7" w:rsidRPr="003C05E7" w14:paraId="4C071E4C" w14:textId="77777777" w:rsidTr="002C384C">
        <w:trPr>
          <w:trHeight w:val="230"/>
        </w:trPr>
        <w:tc>
          <w:tcPr>
            <w:tcW w:w="366" w:type="pct"/>
            <w:tcBorders>
              <w:top w:val="nil"/>
              <w:left w:val="nil"/>
              <w:bottom w:val="nil"/>
              <w:right w:val="nil"/>
            </w:tcBorders>
          </w:tcPr>
          <w:p w14:paraId="3748F19D" w14:textId="77777777" w:rsidR="003C05E7" w:rsidRPr="003C05E7" w:rsidRDefault="003C05E7" w:rsidP="003C05E7">
            <w:pPr>
              <w:rPr>
                <w:rFonts w:ascii="Times New Roman" w:hAnsi="Times New Roman" w:cs="Times New Roman"/>
                <w:color w:val="000000"/>
                <w:sz w:val="20"/>
                <w:szCs w:val="20"/>
              </w:rPr>
            </w:pPr>
          </w:p>
        </w:tc>
        <w:tc>
          <w:tcPr>
            <w:tcW w:w="787" w:type="pct"/>
            <w:tcBorders>
              <w:top w:val="nil"/>
              <w:left w:val="nil"/>
              <w:bottom w:val="nil"/>
              <w:right w:val="nil"/>
            </w:tcBorders>
            <w:hideMark/>
          </w:tcPr>
          <w:p w14:paraId="0469D84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SE (Quarry)</w:t>
            </w:r>
          </w:p>
        </w:tc>
        <w:tc>
          <w:tcPr>
            <w:tcW w:w="802" w:type="pct"/>
            <w:tcBorders>
              <w:top w:val="nil"/>
              <w:left w:val="nil"/>
              <w:bottom w:val="nil"/>
              <w:right w:val="nil"/>
            </w:tcBorders>
            <w:hideMark/>
          </w:tcPr>
          <w:p w14:paraId="6B9BA14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61.89</w:t>
            </w:r>
          </w:p>
        </w:tc>
        <w:tc>
          <w:tcPr>
            <w:tcW w:w="526" w:type="pct"/>
            <w:tcBorders>
              <w:top w:val="nil"/>
              <w:left w:val="nil"/>
              <w:bottom w:val="nil"/>
              <w:right w:val="nil"/>
            </w:tcBorders>
            <w:hideMark/>
          </w:tcPr>
          <w:p w14:paraId="4C87913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w:t>
            </w:r>
          </w:p>
        </w:tc>
        <w:tc>
          <w:tcPr>
            <w:tcW w:w="727" w:type="pct"/>
            <w:tcBorders>
              <w:top w:val="nil"/>
              <w:left w:val="nil"/>
              <w:bottom w:val="nil"/>
              <w:right w:val="nil"/>
            </w:tcBorders>
            <w:hideMark/>
          </w:tcPr>
          <w:p w14:paraId="07DBA6A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4.32</w:t>
            </w:r>
          </w:p>
        </w:tc>
        <w:tc>
          <w:tcPr>
            <w:tcW w:w="539" w:type="pct"/>
            <w:tcBorders>
              <w:top w:val="nil"/>
              <w:left w:val="nil"/>
              <w:bottom w:val="nil"/>
              <w:right w:val="nil"/>
            </w:tcBorders>
            <w:hideMark/>
          </w:tcPr>
          <w:p w14:paraId="1095382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w:t>
            </w:r>
          </w:p>
        </w:tc>
        <w:tc>
          <w:tcPr>
            <w:tcW w:w="727" w:type="pct"/>
            <w:tcBorders>
              <w:top w:val="nil"/>
              <w:left w:val="nil"/>
              <w:bottom w:val="nil"/>
              <w:right w:val="nil"/>
            </w:tcBorders>
            <w:hideMark/>
          </w:tcPr>
          <w:p w14:paraId="4798D23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4.81</w:t>
            </w:r>
          </w:p>
        </w:tc>
        <w:tc>
          <w:tcPr>
            <w:tcW w:w="526" w:type="pct"/>
            <w:tcBorders>
              <w:top w:val="nil"/>
              <w:left w:val="nil"/>
              <w:bottom w:val="nil"/>
              <w:right w:val="nil"/>
            </w:tcBorders>
            <w:hideMark/>
          </w:tcPr>
          <w:p w14:paraId="4CC566D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w:t>
            </w:r>
          </w:p>
        </w:tc>
      </w:tr>
      <w:tr w:rsidR="003C05E7" w:rsidRPr="003C05E7" w14:paraId="18D97546" w14:textId="77777777" w:rsidTr="002C384C">
        <w:trPr>
          <w:trHeight w:val="230"/>
        </w:trPr>
        <w:tc>
          <w:tcPr>
            <w:tcW w:w="366" w:type="pct"/>
            <w:tcBorders>
              <w:top w:val="nil"/>
              <w:left w:val="nil"/>
              <w:bottom w:val="single" w:sz="4" w:space="0" w:color="000000" w:themeColor="text1"/>
              <w:right w:val="nil"/>
            </w:tcBorders>
          </w:tcPr>
          <w:p w14:paraId="48221B6E" w14:textId="77777777" w:rsidR="003C05E7" w:rsidRPr="003C05E7" w:rsidRDefault="003C05E7" w:rsidP="003C05E7">
            <w:pPr>
              <w:rPr>
                <w:rFonts w:ascii="Times New Roman" w:hAnsi="Times New Roman" w:cs="Times New Roman"/>
                <w:color w:val="000000"/>
                <w:sz w:val="20"/>
                <w:szCs w:val="20"/>
              </w:rPr>
            </w:pPr>
          </w:p>
        </w:tc>
        <w:tc>
          <w:tcPr>
            <w:tcW w:w="787" w:type="pct"/>
            <w:tcBorders>
              <w:top w:val="nil"/>
              <w:left w:val="nil"/>
              <w:bottom w:val="single" w:sz="4" w:space="0" w:color="000000" w:themeColor="text1"/>
              <w:right w:val="nil"/>
            </w:tcBorders>
            <w:hideMark/>
          </w:tcPr>
          <w:p w14:paraId="5F83324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Mean (Quarry)</w:t>
            </w:r>
          </w:p>
        </w:tc>
        <w:tc>
          <w:tcPr>
            <w:tcW w:w="802" w:type="pct"/>
            <w:tcBorders>
              <w:top w:val="nil"/>
              <w:left w:val="nil"/>
              <w:bottom w:val="single" w:sz="4" w:space="0" w:color="000000" w:themeColor="text1"/>
              <w:right w:val="nil"/>
            </w:tcBorders>
            <w:hideMark/>
          </w:tcPr>
          <w:p w14:paraId="472D06D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930.57 ± 61.89</w:t>
            </w:r>
          </w:p>
        </w:tc>
        <w:tc>
          <w:tcPr>
            <w:tcW w:w="526" w:type="pct"/>
            <w:tcBorders>
              <w:top w:val="nil"/>
              <w:left w:val="nil"/>
              <w:bottom w:val="single" w:sz="4" w:space="0" w:color="000000" w:themeColor="text1"/>
              <w:right w:val="nil"/>
            </w:tcBorders>
            <w:hideMark/>
          </w:tcPr>
          <w:p w14:paraId="256D3F2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ABOVE</w:t>
            </w:r>
          </w:p>
        </w:tc>
        <w:tc>
          <w:tcPr>
            <w:tcW w:w="727" w:type="pct"/>
            <w:tcBorders>
              <w:top w:val="nil"/>
              <w:left w:val="nil"/>
              <w:bottom w:val="single" w:sz="4" w:space="0" w:color="000000" w:themeColor="text1"/>
              <w:right w:val="nil"/>
            </w:tcBorders>
            <w:hideMark/>
          </w:tcPr>
          <w:p w14:paraId="6B1C801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25.34 ± 4.32</w:t>
            </w:r>
          </w:p>
        </w:tc>
        <w:tc>
          <w:tcPr>
            <w:tcW w:w="539" w:type="pct"/>
            <w:tcBorders>
              <w:top w:val="nil"/>
              <w:left w:val="nil"/>
              <w:bottom w:val="single" w:sz="4" w:space="0" w:color="000000" w:themeColor="text1"/>
              <w:right w:val="nil"/>
            </w:tcBorders>
            <w:hideMark/>
          </w:tcPr>
          <w:p w14:paraId="3F6B437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BELOW</w:t>
            </w:r>
          </w:p>
        </w:tc>
        <w:tc>
          <w:tcPr>
            <w:tcW w:w="727" w:type="pct"/>
            <w:tcBorders>
              <w:top w:val="nil"/>
              <w:left w:val="nil"/>
              <w:bottom w:val="single" w:sz="4" w:space="0" w:color="000000" w:themeColor="text1"/>
              <w:right w:val="nil"/>
            </w:tcBorders>
            <w:hideMark/>
          </w:tcPr>
          <w:p w14:paraId="11089E0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76.28 ± 4.81</w:t>
            </w:r>
          </w:p>
        </w:tc>
        <w:tc>
          <w:tcPr>
            <w:tcW w:w="526" w:type="pct"/>
            <w:tcBorders>
              <w:top w:val="nil"/>
              <w:left w:val="nil"/>
              <w:bottom w:val="single" w:sz="4" w:space="0" w:color="000000" w:themeColor="text1"/>
              <w:right w:val="nil"/>
            </w:tcBorders>
            <w:hideMark/>
          </w:tcPr>
          <w:p w14:paraId="12A32BF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ABOVE</w:t>
            </w:r>
          </w:p>
        </w:tc>
      </w:tr>
    </w:tbl>
    <w:p w14:paraId="6974C529" w14:textId="212BB056" w:rsidR="003C05E7" w:rsidRPr="003C05E7" w:rsidRDefault="003C05E7" w:rsidP="00DE76B3">
      <w:pPr>
        <w:spacing w:after="0" w:line="240" w:lineRule="auto"/>
        <w:jc w:val="both"/>
        <w:rPr>
          <w:rFonts w:ascii="Times New Roman" w:eastAsia="Times New Roman" w:hAnsi="Times New Roman" w:cs="Times New Roman"/>
          <w:sz w:val="20"/>
          <w:szCs w:val="20"/>
          <w:lang w:val="zh-CN" w:eastAsia="zh-CN"/>
        </w:rPr>
      </w:pPr>
      <w:r w:rsidRPr="003C05E7">
        <w:rPr>
          <w:rFonts w:ascii="Times New Roman" w:hAnsi="Times New Roman" w:cs="Times New Roman"/>
          <w:i/>
          <w:iCs/>
          <w:sz w:val="20"/>
          <w:szCs w:val="20"/>
        </w:rPr>
        <w:t>Note</w:t>
      </w:r>
      <w:r w:rsidR="00DE76B3">
        <w:rPr>
          <w:rFonts w:ascii="Times New Roman" w:hAnsi="Times New Roman" w:cs="Times New Roman"/>
          <w:i/>
          <w:iCs/>
          <w:sz w:val="20"/>
          <w:szCs w:val="20"/>
        </w:rPr>
        <w:t>:</w:t>
      </w:r>
      <w:r w:rsidRPr="003C05E7">
        <w:rPr>
          <w:rFonts w:ascii="Times New Roman" w:hAnsi="Times New Roman" w:cs="Times New Roman"/>
          <w:i/>
          <w:iCs/>
          <w:sz w:val="20"/>
          <w:szCs w:val="20"/>
        </w:rPr>
        <w:t xml:space="preserve"> Status </w:t>
      </w:r>
      <w:r w:rsidR="00DE76B3" w:rsidRPr="003C05E7">
        <w:rPr>
          <w:rFonts w:ascii="Times New Roman" w:hAnsi="Times New Roman" w:cs="Times New Roman"/>
          <w:i/>
          <w:iCs/>
          <w:sz w:val="20"/>
          <w:szCs w:val="20"/>
        </w:rPr>
        <w:t xml:space="preserve">Denotes Comparison </w:t>
      </w:r>
      <w:r w:rsidRPr="003C05E7">
        <w:rPr>
          <w:rFonts w:ascii="Times New Roman" w:hAnsi="Times New Roman" w:cs="Times New Roman"/>
          <w:i/>
          <w:iCs/>
          <w:sz w:val="20"/>
          <w:szCs w:val="20"/>
        </w:rPr>
        <w:t xml:space="preserve">with UNSCEAR (2000) </w:t>
      </w:r>
      <w:r w:rsidR="00DE76B3" w:rsidRPr="003C05E7">
        <w:rPr>
          <w:rFonts w:ascii="Times New Roman" w:hAnsi="Times New Roman" w:cs="Times New Roman"/>
          <w:i/>
          <w:iCs/>
          <w:sz w:val="20"/>
          <w:szCs w:val="20"/>
        </w:rPr>
        <w:t>World Average</w:t>
      </w:r>
      <w:r w:rsidRPr="003C05E7">
        <w:rPr>
          <w:rFonts w:ascii="Times New Roman" w:hAnsi="Times New Roman" w:cs="Times New Roman"/>
          <w:i/>
          <w:iCs/>
          <w:sz w:val="20"/>
          <w:szCs w:val="20"/>
        </w:rPr>
        <w:t>: ⁴⁰K = 400, ²²</w:t>
      </w:r>
      <w:r w:rsidRPr="003C05E7">
        <w:rPr>
          <w:rFonts w:ascii="Times New Roman" w:eastAsia="MS Gothic" w:hAnsi="Times New Roman" w:cs="Times New Roman"/>
          <w:i/>
          <w:iCs/>
          <w:sz w:val="20"/>
          <w:szCs w:val="20"/>
        </w:rPr>
        <w:t>⁶</w:t>
      </w:r>
      <w:r w:rsidRPr="003C05E7">
        <w:rPr>
          <w:rFonts w:ascii="Times New Roman" w:hAnsi="Times New Roman" w:cs="Times New Roman"/>
          <w:i/>
          <w:iCs/>
          <w:sz w:val="20"/>
          <w:szCs w:val="20"/>
        </w:rPr>
        <w:t xml:space="preserve">Ra = 35, ²³²Th = 30 </w:t>
      </w:r>
      <w:proofErr w:type="spellStart"/>
      <w:r w:rsidRPr="003C05E7">
        <w:rPr>
          <w:rFonts w:ascii="Times New Roman" w:hAnsi="Times New Roman" w:cs="Times New Roman"/>
          <w:i/>
          <w:iCs/>
          <w:sz w:val="20"/>
          <w:szCs w:val="20"/>
        </w:rPr>
        <w:t>Bq</w:t>
      </w:r>
      <w:proofErr w:type="spellEnd"/>
      <w:r w:rsidRPr="003C05E7">
        <w:rPr>
          <w:rFonts w:ascii="Times New Roman" w:hAnsi="Times New Roman" w:cs="Times New Roman"/>
          <w:i/>
          <w:iCs/>
          <w:sz w:val="20"/>
          <w:szCs w:val="20"/>
        </w:rPr>
        <w:t xml:space="preserve"> kg</w:t>
      </w:r>
      <w:r w:rsidRPr="003C05E7">
        <w:rPr>
          <w:rFonts w:ascii="Times New Roman" w:eastAsia="MS Gothic" w:hAnsi="Times New Roman" w:cs="Times New Roman"/>
          <w:i/>
          <w:iCs/>
          <w:sz w:val="20"/>
          <w:szCs w:val="20"/>
        </w:rPr>
        <w:t>⁻</w:t>
      </w:r>
      <w:r w:rsidRPr="003C05E7">
        <w:rPr>
          <w:rFonts w:ascii="Times New Roman" w:hAnsi="Times New Roman" w:cs="Times New Roman"/>
          <w:i/>
          <w:iCs/>
          <w:sz w:val="20"/>
          <w:szCs w:val="20"/>
        </w:rPr>
        <w:t xml:space="preserve">¹. SE = </w:t>
      </w:r>
      <w:r w:rsidR="00DE76B3" w:rsidRPr="003C05E7">
        <w:rPr>
          <w:rFonts w:ascii="Times New Roman" w:hAnsi="Times New Roman" w:cs="Times New Roman"/>
          <w:i/>
          <w:iCs/>
          <w:sz w:val="20"/>
          <w:szCs w:val="20"/>
        </w:rPr>
        <w:t xml:space="preserve">Standard Error </w:t>
      </w:r>
      <w:r w:rsidRPr="003C05E7">
        <w:rPr>
          <w:rFonts w:ascii="Times New Roman" w:hAnsi="Times New Roman" w:cs="Times New Roman"/>
          <w:i/>
          <w:iCs/>
          <w:sz w:val="20"/>
          <w:szCs w:val="20"/>
        </w:rPr>
        <w:t xml:space="preserve">from </w:t>
      </w:r>
      <w:r w:rsidR="00DE76B3" w:rsidRPr="003C05E7">
        <w:rPr>
          <w:rFonts w:ascii="Times New Roman" w:hAnsi="Times New Roman" w:cs="Times New Roman"/>
          <w:i/>
          <w:iCs/>
          <w:sz w:val="20"/>
          <w:szCs w:val="20"/>
        </w:rPr>
        <w:t xml:space="preserve">Quarry Points </w:t>
      </w:r>
      <w:r w:rsidRPr="003C05E7">
        <w:rPr>
          <w:rFonts w:ascii="Times New Roman" w:hAnsi="Times New Roman" w:cs="Times New Roman"/>
          <w:i/>
          <w:iCs/>
          <w:sz w:val="20"/>
          <w:szCs w:val="20"/>
        </w:rPr>
        <w:t>QPT1–QPT6 only</w:t>
      </w:r>
    </w:p>
    <w:p w14:paraId="3FBCA1B7" w14:textId="77777777" w:rsidR="003C05E7" w:rsidRPr="003C05E7" w:rsidRDefault="003C05E7" w:rsidP="003C05E7">
      <w:pPr>
        <w:spacing w:after="0" w:line="240" w:lineRule="auto"/>
        <w:rPr>
          <w:rFonts w:ascii="Times New Roman" w:eastAsiaTheme="minorEastAsia" w:hAnsi="Times New Roman" w:cs="Times New Roman"/>
          <w:b/>
          <w:bCs/>
          <w:sz w:val="20"/>
          <w:szCs w:val="20"/>
        </w:rPr>
      </w:pPr>
    </w:p>
    <w:p w14:paraId="4294D1EE" w14:textId="3FC40067" w:rsidR="003C05E7" w:rsidRPr="003C05E7" w:rsidRDefault="003C05E7" w:rsidP="003C05E7">
      <w:pPr>
        <w:spacing w:after="0" w:line="240" w:lineRule="auto"/>
        <w:rPr>
          <w:rFonts w:ascii="Times New Roman" w:eastAsia="Times New Roman" w:hAnsi="Times New Roman" w:cs="Times New Roman"/>
          <w:sz w:val="20"/>
          <w:szCs w:val="20"/>
        </w:rPr>
      </w:pPr>
      <w:r w:rsidRPr="003C05E7">
        <w:rPr>
          <w:rFonts w:ascii="Times New Roman" w:hAnsi="Times New Roman" w:cs="Times New Roman"/>
          <w:b/>
          <w:bCs/>
          <w:sz w:val="20"/>
          <w:szCs w:val="20"/>
        </w:rPr>
        <w:t>Table 3b</w:t>
      </w:r>
      <w:r w:rsidR="002C384C">
        <w:rPr>
          <w:rFonts w:ascii="Times New Roman" w:hAnsi="Times New Roman" w:cs="Times New Roman"/>
          <w:b/>
          <w:bCs/>
          <w:sz w:val="20"/>
          <w:szCs w:val="20"/>
        </w:rPr>
        <w:t>:</w:t>
      </w:r>
      <w:r w:rsidRPr="003C05E7">
        <w:rPr>
          <w:rFonts w:ascii="Times New Roman" w:hAnsi="Times New Roman" w:cs="Times New Roman"/>
          <w:b/>
          <w:bCs/>
          <w:sz w:val="20"/>
          <w:szCs w:val="20"/>
        </w:rPr>
        <w:t xml:space="preserve"> Mean </w:t>
      </w:r>
      <w:r w:rsidR="002C384C" w:rsidRPr="003C05E7">
        <w:rPr>
          <w:rFonts w:ascii="Times New Roman" w:hAnsi="Times New Roman" w:cs="Times New Roman"/>
          <w:b/>
          <w:bCs/>
          <w:sz w:val="20"/>
          <w:szCs w:val="20"/>
        </w:rPr>
        <w:t xml:space="preserve">Activity Concentrations </w:t>
      </w:r>
      <w:r w:rsidRPr="003C05E7">
        <w:rPr>
          <w:rFonts w:ascii="Times New Roman" w:hAnsi="Times New Roman" w:cs="Times New Roman"/>
          <w:b/>
          <w:bCs/>
          <w:sz w:val="20"/>
          <w:szCs w:val="20"/>
        </w:rPr>
        <w:t xml:space="preserve">in </w:t>
      </w:r>
      <w:proofErr w:type="spellStart"/>
      <w:r w:rsidRPr="003C05E7">
        <w:rPr>
          <w:rFonts w:ascii="Times New Roman" w:hAnsi="Times New Roman" w:cs="Times New Roman"/>
          <w:b/>
          <w:bCs/>
          <w:sz w:val="20"/>
          <w:szCs w:val="20"/>
        </w:rPr>
        <w:t>Bq</w:t>
      </w:r>
      <w:proofErr w:type="spellEnd"/>
      <w:r w:rsidRPr="003C05E7">
        <w:rPr>
          <w:rFonts w:ascii="Times New Roman" w:hAnsi="Times New Roman" w:cs="Times New Roman"/>
          <w:b/>
          <w:bCs/>
          <w:sz w:val="20"/>
          <w:szCs w:val="20"/>
        </w:rPr>
        <w:t xml:space="preserve"> kg</w:t>
      </w:r>
      <w:r w:rsidRPr="003C05E7">
        <w:rPr>
          <w:rFonts w:ascii="Times New Roman" w:eastAsia="MS Gothic" w:hAnsi="Times New Roman" w:cs="Times New Roman"/>
          <w:b/>
          <w:bCs/>
          <w:sz w:val="20"/>
          <w:szCs w:val="20"/>
        </w:rPr>
        <w:t>⁻</w:t>
      </w:r>
      <w:r w:rsidRPr="003C05E7">
        <w:rPr>
          <w:rFonts w:ascii="Times New Roman" w:hAnsi="Times New Roman" w:cs="Times New Roman"/>
          <w:b/>
          <w:bCs/>
          <w:sz w:val="20"/>
          <w:szCs w:val="20"/>
        </w:rPr>
        <w:t xml:space="preserve">¹ and </w:t>
      </w:r>
      <w:proofErr w:type="spellStart"/>
      <w:r w:rsidRPr="003C05E7">
        <w:rPr>
          <w:rFonts w:ascii="Times New Roman" w:hAnsi="Times New Roman" w:cs="Times New Roman"/>
          <w:b/>
          <w:bCs/>
          <w:sz w:val="20"/>
          <w:szCs w:val="20"/>
        </w:rPr>
        <w:t>Bq</w:t>
      </w:r>
      <w:proofErr w:type="spellEnd"/>
      <w:r w:rsidRPr="003C05E7">
        <w:rPr>
          <w:rFonts w:ascii="Times New Roman" w:hAnsi="Times New Roman" w:cs="Times New Roman"/>
          <w:b/>
          <w:bCs/>
          <w:sz w:val="20"/>
          <w:szCs w:val="20"/>
        </w:rPr>
        <w:t xml:space="preserve"> g</w:t>
      </w:r>
      <w:r w:rsidRPr="003C05E7">
        <w:rPr>
          <w:rFonts w:ascii="Times New Roman" w:eastAsia="MS Gothic" w:hAnsi="Times New Roman" w:cs="Times New Roman"/>
          <w:b/>
          <w:bCs/>
          <w:sz w:val="20"/>
          <w:szCs w:val="20"/>
        </w:rPr>
        <w:t>⁻</w:t>
      </w:r>
      <w:r w:rsidRPr="003C05E7">
        <w:rPr>
          <w:rFonts w:ascii="Times New Roman" w:hAnsi="Times New Roman" w:cs="Times New Roman"/>
          <w:b/>
          <w:bCs/>
          <w:sz w:val="20"/>
          <w:szCs w:val="20"/>
        </w:rPr>
        <w:t xml:space="preserve">¹ </w:t>
      </w:r>
      <w:r w:rsidR="002C384C" w:rsidRPr="003C05E7">
        <w:rPr>
          <w:rFonts w:ascii="Times New Roman" w:hAnsi="Times New Roman" w:cs="Times New Roman"/>
          <w:b/>
          <w:bCs/>
          <w:sz w:val="20"/>
          <w:szCs w:val="20"/>
        </w:rPr>
        <w:t xml:space="preserve">Used </w:t>
      </w:r>
      <w:r w:rsidRPr="003C05E7">
        <w:rPr>
          <w:rFonts w:ascii="Times New Roman" w:hAnsi="Times New Roman" w:cs="Times New Roman"/>
          <w:b/>
          <w:bCs/>
          <w:sz w:val="20"/>
          <w:szCs w:val="20"/>
        </w:rPr>
        <w:t xml:space="preserve">as </w:t>
      </w:r>
      <w:r w:rsidR="002C384C" w:rsidRPr="003C05E7">
        <w:rPr>
          <w:rFonts w:ascii="Times New Roman" w:hAnsi="Times New Roman" w:cs="Times New Roman"/>
          <w:b/>
          <w:bCs/>
          <w:sz w:val="20"/>
          <w:szCs w:val="20"/>
        </w:rPr>
        <w:t xml:space="preserve">Primary </w:t>
      </w:r>
      <w:r w:rsidRPr="003C05E7">
        <w:rPr>
          <w:rFonts w:ascii="Times New Roman" w:hAnsi="Times New Roman" w:cs="Times New Roman"/>
          <w:b/>
          <w:bCs/>
          <w:sz w:val="20"/>
          <w:szCs w:val="20"/>
        </w:rPr>
        <w:t xml:space="preserve">RESRAD-Onsite 7.2 </w:t>
      </w:r>
      <w:r w:rsidR="002C384C" w:rsidRPr="003C05E7">
        <w:rPr>
          <w:rFonts w:ascii="Times New Roman" w:hAnsi="Times New Roman" w:cs="Times New Roman"/>
          <w:b/>
          <w:bCs/>
          <w:sz w:val="20"/>
          <w:szCs w:val="20"/>
        </w:rPr>
        <w:t>Inputs</w:t>
      </w:r>
    </w:p>
    <w:tbl>
      <w:tblPr>
        <w:tblStyle w:val="ListTable6Colorful"/>
        <w:tblW w:w="5000" w:type="pct"/>
        <w:tblLook w:val="0620" w:firstRow="1" w:lastRow="0" w:firstColumn="0" w:lastColumn="0" w:noHBand="1" w:noVBand="1"/>
      </w:tblPr>
      <w:tblGrid>
        <w:gridCol w:w="1261"/>
        <w:gridCol w:w="1259"/>
        <w:gridCol w:w="1170"/>
        <w:gridCol w:w="1352"/>
        <w:gridCol w:w="1348"/>
        <w:gridCol w:w="1530"/>
        <w:gridCol w:w="1442"/>
      </w:tblGrid>
      <w:tr w:rsidR="003C05E7" w:rsidRPr="003C05E7" w14:paraId="36ABD592" w14:textId="77777777" w:rsidTr="00E82B09">
        <w:trPr>
          <w:cnfStyle w:val="100000000000" w:firstRow="1" w:lastRow="0" w:firstColumn="0" w:lastColumn="0" w:oddVBand="0" w:evenVBand="0" w:oddHBand="0" w:evenHBand="0" w:firstRowFirstColumn="0" w:firstRowLastColumn="0" w:lastRowFirstColumn="0" w:lastRowLastColumn="0"/>
          <w:trHeight w:val="230"/>
        </w:trPr>
        <w:tc>
          <w:tcPr>
            <w:tcW w:w="673" w:type="pct"/>
            <w:tcBorders>
              <w:top w:val="single" w:sz="4" w:space="0" w:color="000000" w:themeColor="text1"/>
              <w:left w:val="nil"/>
              <w:right w:val="nil"/>
            </w:tcBorders>
            <w:hideMark/>
          </w:tcPr>
          <w:p w14:paraId="6246793E"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Location</w:t>
            </w:r>
          </w:p>
        </w:tc>
        <w:tc>
          <w:tcPr>
            <w:tcW w:w="672" w:type="pct"/>
            <w:tcBorders>
              <w:top w:val="single" w:sz="4" w:space="0" w:color="000000" w:themeColor="text1"/>
              <w:left w:val="nil"/>
              <w:right w:val="nil"/>
            </w:tcBorders>
            <w:hideMark/>
          </w:tcPr>
          <w:p w14:paraId="44A61AF0"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⁴⁰K (</w:t>
            </w:r>
            <w:proofErr w:type="spellStart"/>
            <w:r w:rsidRPr="00E82B09">
              <w:rPr>
                <w:rFonts w:ascii="Times New Roman" w:hAnsi="Times New Roman" w:cs="Times New Roman"/>
                <w:bCs w:val="0"/>
                <w:color w:val="000000"/>
                <w:sz w:val="18"/>
                <w:szCs w:val="18"/>
              </w:rPr>
              <w:t>Bq</w:t>
            </w:r>
            <w:proofErr w:type="spellEnd"/>
            <w:r w:rsidRPr="00E82B09">
              <w:rPr>
                <w:rFonts w:ascii="Times New Roman" w:hAnsi="Times New Roman" w:cs="Times New Roman"/>
                <w:bCs w:val="0"/>
                <w:color w:val="000000"/>
                <w:sz w:val="18"/>
                <w:szCs w:val="18"/>
              </w:rPr>
              <w:t xml:space="preserve"> kg</w:t>
            </w:r>
            <w:r w:rsidRPr="00E82B09">
              <w:rPr>
                <w:rFonts w:ascii="Times New Roman" w:eastAsia="MS Gothic" w:hAnsi="Times New Roman" w:cs="Times New Roman"/>
                <w:bCs w:val="0"/>
                <w:color w:val="000000"/>
                <w:sz w:val="18"/>
                <w:szCs w:val="18"/>
              </w:rPr>
              <w:t>⁻</w:t>
            </w:r>
            <w:r w:rsidRPr="00E82B09">
              <w:rPr>
                <w:rFonts w:ascii="Times New Roman" w:hAnsi="Times New Roman" w:cs="Times New Roman"/>
                <w:bCs w:val="0"/>
                <w:color w:val="000000"/>
                <w:sz w:val="18"/>
                <w:szCs w:val="18"/>
              </w:rPr>
              <w:t>¹)</w:t>
            </w:r>
          </w:p>
        </w:tc>
        <w:tc>
          <w:tcPr>
            <w:tcW w:w="625" w:type="pct"/>
            <w:tcBorders>
              <w:top w:val="single" w:sz="4" w:space="0" w:color="000000" w:themeColor="text1"/>
              <w:left w:val="nil"/>
              <w:right w:val="nil"/>
            </w:tcBorders>
            <w:hideMark/>
          </w:tcPr>
          <w:p w14:paraId="336433BE"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⁴⁰K (</w:t>
            </w:r>
            <w:proofErr w:type="spellStart"/>
            <w:r w:rsidRPr="00E82B09">
              <w:rPr>
                <w:rFonts w:ascii="Times New Roman" w:hAnsi="Times New Roman" w:cs="Times New Roman"/>
                <w:bCs w:val="0"/>
                <w:color w:val="000000"/>
                <w:sz w:val="18"/>
                <w:szCs w:val="18"/>
              </w:rPr>
              <w:t>Bq</w:t>
            </w:r>
            <w:proofErr w:type="spellEnd"/>
            <w:r w:rsidRPr="00E82B09">
              <w:rPr>
                <w:rFonts w:ascii="Times New Roman" w:hAnsi="Times New Roman" w:cs="Times New Roman"/>
                <w:bCs w:val="0"/>
                <w:color w:val="000000"/>
                <w:sz w:val="18"/>
                <w:szCs w:val="18"/>
              </w:rPr>
              <w:t xml:space="preserve"> g</w:t>
            </w:r>
            <w:r w:rsidRPr="00E82B09">
              <w:rPr>
                <w:rFonts w:ascii="Times New Roman" w:eastAsia="MS Gothic" w:hAnsi="Times New Roman" w:cs="Times New Roman"/>
                <w:bCs w:val="0"/>
                <w:color w:val="000000"/>
                <w:sz w:val="18"/>
                <w:szCs w:val="18"/>
              </w:rPr>
              <w:t>⁻</w:t>
            </w:r>
            <w:r w:rsidRPr="00E82B09">
              <w:rPr>
                <w:rFonts w:ascii="Times New Roman" w:hAnsi="Times New Roman" w:cs="Times New Roman"/>
                <w:bCs w:val="0"/>
                <w:color w:val="000000"/>
                <w:sz w:val="18"/>
                <w:szCs w:val="18"/>
              </w:rPr>
              <w:t>¹)</w:t>
            </w:r>
          </w:p>
        </w:tc>
        <w:tc>
          <w:tcPr>
            <w:tcW w:w="722" w:type="pct"/>
            <w:tcBorders>
              <w:top w:val="single" w:sz="4" w:space="0" w:color="000000" w:themeColor="text1"/>
              <w:left w:val="nil"/>
              <w:right w:val="nil"/>
            </w:tcBorders>
            <w:hideMark/>
          </w:tcPr>
          <w:p w14:paraId="2621CF99"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²²</w:t>
            </w:r>
            <w:r w:rsidRPr="00E82B09">
              <w:rPr>
                <w:rFonts w:ascii="Times New Roman" w:eastAsia="MS Gothic" w:hAnsi="Times New Roman" w:cs="Times New Roman"/>
                <w:bCs w:val="0"/>
                <w:color w:val="000000"/>
                <w:sz w:val="18"/>
                <w:szCs w:val="18"/>
              </w:rPr>
              <w:t>⁶</w:t>
            </w:r>
            <w:r w:rsidRPr="00E82B09">
              <w:rPr>
                <w:rFonts w:ascii="Times New Roman" w:hAnsi="Times New Roman" w:cs="Times New Roman"/>
                <w:bCs w:val="0"/>
                <w:color w:val="000000"/>
                <w:sz w:val="18"/>
                <w:szCs w:val="18"/>
              </w:rPr>
              <w:t>Ra (</w:t>
            </w:r>
            <w:proofErr w:type="spellStart"/>
            <w:r w:rsidRPr="00E82B09">
              <w:rPr>
                <w:rFonts w:ascii="Times New Roman" w:hAnsi="Times New Roman" w:cs="Times New Roman"/>
                <w:bCs w:val="0"/>
                <w:color w:val="000000"/>
                <w:sz w:val="18"/>
                <w:szCs w:val="18"/>
              </w:rPr>
              <w:t>Bq</w:t>
            </w:r>
            <w:proofErr w:type="spellEnd"/>
            <w:r w:rsidRPr="00E82B09">
              <w:rPr>
                <w:rFonts w:ascii="Times New Roman" w:hAnsi="Times New Roman" w:cs="Times New Roman"/>
                <w:bCs w:val="0"/>
                <w:color w:val="000000"/>
                <w:sz w:val="18"/>
                <w:szCs w:val="18"/>
              </w:rPr>
              <w:t xml:space="preserve"> kg</w:t>
            </w:r>
            <w:r w:rsidRPr="00E82B09">
              <w:rPr>
                <w:rFonts w:ascii="Times New Roman" w:eastAsia="MS Gothic" w:hAnsi="Times New Roman" w:cs="Times New Roman"/>
                <w:bCs w:val="0"/>
                <w:color w:val="000000"/>
                <w:sz w:val="18"/>
                <w:szCs w:val="18"/>
              </w:rPr>
              <w:t>⁻</w:t>
            </w:r>
            <w:r w:rsidRPr="00E82B09">
              <w:rPr>
                <w:rFonts w:ascii="Times New Roman" w:hAnsi="Times New Roman" w:cs="Times New Roman"/>
                <w:bCs w:val="0"/>
                <w:color w:val="000000"/>
                <w:sz w:val="18"/>
                <w:szCs w:val="18"/>
              </w:rPr>
              <w:t>¹)</w:t>
            </w:r>
          </w:p>
        </w:tc>
        <w:tc>
          <w:tcPr>
            <w:tcW w:w="720" w:type="pct"/>
            <w:tcBorders>
              <w:top w:val="single" w:sz="4" w:space="0" w:color="000000" w:themeColor="text1"/>
              <w:left w:val="nil"/>
              <w:right w:val="nil"/>
            </w:tcBorders>
            <w:hideMark/>
          </w:tcPr>
          <w:p w14:paraId="7A25F6AC"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²²</w:t>
            </w:r>
            <w:r w:rsidRPr="00E82B09">
              <w:rPr>
                <w:rFonts w:ascii="Times New Roman" w:eastAsia="MS Gothic" w:hAnsi="Times New Roman" w:cs="Times New Roman"/>
                <w:bCs w:val="0"/>
                <w:color w:val="000000"/>
                <w:sz w:val="18"/>
                <w:szCs w:val="18"/>
              </w:rPr>
              <w:t>⁶</w:t>
            </w:r>
            <w:r w:rsidRPr="00E82B09">
              <w:rPr>
                <w:rFonts w:ascii="Times New Roman" w:hAnsi="Times New Roman" w:cs="Times New Roman"/>
                <w:bCs w:val="0"/>
                <w:color w:val="000000"/>
                <w:sz w:val="18"/>
                <w:szCs w:val="18"/>
              </w:rPr>
              <w:t>Ra (</w:t>
            </w:r>
            <w:proofErr w:type="spellStart"/>
            <w:r w:rsidRPr="00E82B09">
              <w:rPr>
                <w:rFonts w:ascii="Times New Roman" w:hAnsi="Times New Roman" w:cs="Times New Roman"/>
                <w:bCs w:val="0"/>
                <w:color w:val="000000"/>
                <w:sz w:val="18"/>
                <w:szCs w:val="18"/>
              </w:rPr>
              <w:t>Bq</w:t>
            </w:r>
            <w:proofErr w:type="spellEnd"/>
            <w:r w:rsidRPr="00E82B09">
              <w:rPr>
                <w:rFonts w:ascii="Times New Roman" w:hAnsi="Times New Roman" w:cs="Times New Roman"/>
                <w:bCs w:val="0"/>
                <w:color w:val="000000"/>
                <w:sz w:val="18"/>
                <w:szCs w:val="18"/>
              </w:rPr>
              <w:t xml:space="preserve"> g</w:t>
            </w:r>
            <w:r w:rsidRPr="00E82B09">
              <w:rPr>
                <w:rFonts w:ascii="Times New Roman" w:eastAsia="MS Gothic" w:hAnsi="Times New Roman" w:cs="Times New Roman"/>
                <w:bCs w:val="0"/>
                <w:color w:val="000000"/>
                <w:sz w:val="18"/>
                <w:szCs w:val="18"/>
              </w:rPr>
              <w:t>⁻</w:t>
            </w:r>
            <w:r w:rsidRPr="00E82B09">
              <w:rPr>
                <w:rFonts w:ascii="Times New Roman" w:hAnsi="Times New Roman" w:cs="Times New Roman"/>
                <w:bCs w:val="0"/>
                <w:color w:val="000000"/>
                <w:sz w:val="18"/>
                <w:szCs w:val="18"/>
              </w:rPr>
              <w:t>¹)</w:t>
            </w:r>
          </w:p>
        </w:tc>
        <w:tc>
          <w:tcPr>
            <w:tcW w:w="817" w:type="pct"/>
            <w:tcBorders>
              <w:top w:val="single" w:sz="4" w:space="0" w:color="000000" w:themeColor="text1"/>
              <w:left w:val="nil"/>
              <w:right w:val="nil"/>
            </w:tcBorders>
            <w:hideMark/>
          </w:tcPr>
          <w:p w14:paraId="1D751960"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²³²Th (</w:t>
            </w:r>
            <w:proofErr w:type="spellStart"/>
            <w:r w:rsidRPr="00E82B09">
              <w:rPr>
                <w:rFonts w:ascii="Times New Roman" w:hAnsi="Times New Roman" w:cs="Times New Roman"/>
                <w:bCs w:val="0"/>
                <w:color w:val="000000"/>
                <w:sz w:val="18"/>
                <w:szCs w:val="18"/>
              </w:rPr>
              <w:t>Bq</w:t>
            </w:r>
            <w:proofErr w:type="spellEnd"/>
            <w:r w:rsidRPr="00E82B09">
              <w:rPr>
                <w:rFonts w:ascii="Times New Roman" w:hAnsi="Times New Roman" w:cs="Times New Roman"/>
                <w:bCs w:val="0"/>
                <w:color w:val="000000"/>
                <w:sz w:val="18"/>
                <w:szCs w:val="18"/>
              </w:rPr>
              <w:t xml:space="preserve"> kg</w:t>
            </w:r>
            <w:r w:rsidRPr="00E82B09">
              <w:rPr>
                <w:rFonts w:ascii="Times New Roman" w:eastAsia="MS Gothic" w:hAnsi="Times New Roman" w:cs="Times New Roman"/>
                <w:bCs w:val="0"/>
                <w:color w:val="000000"/>
                <w:sz w:val="18"/>
                <w:szCs w:val="18"/>
              </w:rPr>
              <w:t>⁻</w:t>
            </w:r>
            <w:r w:rsidRPr="00E82B09">
              <w:rPr>
                <w:rFonts w:ascii="Times New Roman" w:hAnsi="Times New Roman" w:cs="Times New Roman"/>
                <w:bCs w:val="0"/>
                <w:color w:val="000000"/>
                <w:sz w:val="18"/>
                <w:szCs w:val="18"/>
              </w:rPr>
              <w:t>¹)</w:t>
            </w:r>
          </w:p>
        </w:tc>
        <w:tc>
          <w:tcPr>
            <w:tcW w:w="770" w:type="pct"/>
            <w:tcBorders>
              <w:top w:val="single" w:sz="4" w:space="0" w:color="000000" w:themeColor="text1"/>
              <w:left w:val="nil"/>
              <w:right w:val="nil"/>
            </w:tcBorders>
            <w:hideMark/>
          </w:tcPr>
          <w:p w14:paraId="305B3924" w14:textId="77777777" w:rsidR="003C05E7" w:rsidRPr="00E82B09" w:rsidRDefault="003C05E7" w:rsidP="003C05E7">
            <w:pPr>
              <w:rPr>
                <w:rFonts w:ascii="Times New Roman" w:hAnsi="Times New Roman" w:cs="Times New Roman"/>
                <w:color w:val="000000"/>
                <w:sz w:val="18"/>
                <w:szCs w:val="18"/>
              </w:rPr>
            </w:pPr>
            <w:r w:rsidRPr="00E82B09">
              <w:rPr>
                <w:rFonts w:ascii="Times New Roman" w:hAnsi="Times New Roman" w:cs="Times New Roman"/>
                <w:bCs w:val="0"/>
                <w:color w:val="000000"/>
                <w:sz w:val="18"/>
                <w:szCs w:val="18"/>
              </w:rPr>
              <w:t>²³²Th (</w:t>
            </w:r>
            <w:proofErr w:type="spellStart"/>
            <w:r w:rsidRPr="00E82B09">
              <w:rPr>
                <w:rFonts w:ascii="Times New Roman" w:hAnsi="Times New Roman" w:cs="Times New Roman"/>
                <w:bCs w:val="0"/>
                <w:color w:val="000000"/>
                <w:sz w:val="18"/>
                <w:szCs w:val="18"/>
              </w:rPr>
              <w:t>Bq</w:t>
            </w:r>
            <w:proofErr w:type="spellEnd"/>
            <w:r w:rsidRPr="00E82B09">
              <w:rPr>
                <w:rFonts w:ascii="Times New Roman" w:hAnsi="Times New Roman" w:cs="Times New Roman"/>
                <w:bCs w:val="0"/>
                <w:color w:val="000000"/>
                <w:sz w:val="18"/>
                <w:szCs w:val="18"/>
              </w:rPr>
              <w:t xml:space="preserve"> g</w:t>
            </w:r>
            <w:r w:rsidRPr="00E82B09">
              <w:rPr>
                <w:rFonts w:ascii="Times New Roman" w:eastAsia="MS Gothic" w:hAnsi="Times New Roman" w:cs="Times New Roman"/>
                <w:bCs w:val="0"/>
                <w:color w:val="000000"/>
                <w:sz w:val="18"/>
                <w:szCs w:val="18"/>
              </w:rPr>
              <w:t>⁻</w:t>
            </w:r>
            <w:r w:rsidRPr="00E82B09">
              <w:rPr>
                <w:rFonts w:ascii="Times New Roman" w:hAnsi="Times New Roman" w:cs="Times New Roman"/>
                <w:bCs w:val="0"/>
                <w:color w:val="000000"/>
                <w:sz w:val="18"/>
                <w:szCs w:val="18"/>
              </w:rPr>
              <w:t>¹)</w:t>
            </w:r>
          </w:p>
        </w:tc>
      </w:tr>
      <w:tr w:rsidR="003C05E7" w:rsidRPr="003C05E7" w14:paraId="0AFF50FE" w14:textId="77777777" w:rsidTr="00E82B09">
        <w:trPr>
          <w:trHeight w:val="230"/>
        </w:trPr>
        <w:tc>
          <w:tcPr>
            <w:tcW w:w="673" w:type="pct"/>
            <w:tcBorders>
              <w:top w:val="nil"/>
              <w:left w:val="nil"/>
              <w:bottom w:val="nil"/>
              <w:right w:val="nil"/>
            </w:tcBorders>
            <w:hideMark/>
          </w:tcPr>
          <w:p w14:paraId="792D246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QPT1</w:t>
            </w:r>
          </w:p>
        </w:tc>
        <w:tc>
          <w:tcPr>
            <w:tcW w:w="672" w:type="pct"/>
            <w:tcBorders>
              <w:top w:val="nil"/>
              <w:left w:val="nil"/>
              <w:bottom w:val="nil"/>
              <w:right w:val="nil"/>
            </w:tcBorders>
            <w:hideMark/>
          </w:tcPr>
          <w:p w14:paraId="53DB09A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989.99</w:t>
            </w:r>
          </w:p>
        </w:tc>
        <w:tc>
          <w:tcPr>
            <w:tcW w:w="625" w:type="pct"/>
            <w:tcBorders>
              <w:top w:val="nil"/>
              <w:left w:val="nil"/>
              <w:bottom w:val="nil"/>
              <w:right w:val="nil"/>
            </w:tcBorders>
            <w:hideMark/>
          </w:tcPr>
          <w:p w14:paraId="150EB51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0.98999</w:t>
            </w:r>
          </w:p>
        </w:tc>
        <w:tc>
          <w:tcPr>
            <w:tcW w:w="722" w:type="pct"/>
            <w:tcBorders>
              <w:top w:val="nil"/>
              <w:left w:val="nil"/>
              <w:bottom w:val="nil"/>
              <w:right w:val="nil"/>
            </w:tcBorders>
            <w:hideMark/>
          </w:tcPr>
          <w:p w14:paraId="7045461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19.63</w:t>
            </w:r>
          </w:p>
        </w:tc>
        <w:tc>
          <w:tcPr>
            <w:tcW w:w="720" w:type="pct"/>
            <w:tcBorders>
              <w:top w:val="nil"/>
              <w:left w:val="nil"/>
              <w:bottom w:val="nil"/>
              <w:right w:val="nil"/>
            </w:tcBorders>
            <w:hideMark/>
          </w:tcPr>
          <w:p w14:paraId="2C9F807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0.01963</w:t>
            </w:r>
          </w:p>
        </w:tc>
        <w:tc>
          <w:tcPr>
            <w:tcW w:w="817" w:type="pct"/>
            <w:tcBorders>
              <w:top w:val="nil"/>
              <w:left w:val="nil"/>
              <w:bottom w:val="nil"/>
              <w:right w:val="nil"/>
            </w:tcBorders>
            <w:hideMark/>
          </w:tcPr>
          <w:p w14:paraId="7E0FCBB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72.47</w:t>
            </w:r>
          </w:p>
        </w:tc>
        <w:tc>
          <w:tcPr>
            <w:tcW w:w="770" w:type="pct"/>
            <w:tcBorders>
              <w:top w:val="nil"/>
              <w:left w:val="nil"/>
              <w:bottom w:val="nil"/>
              <w:right w:val="nil"/>
            </w:tcBorders>
            <w:hideMark/>
          </w:tcPr>
          <w:p w14:paraId="3F0702B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0.07247</w:t>
            </w:r>
          </w:p>
        </w:tc>
      </w:tr>
      <w:tr w:rsidR="003C05E7" w:rsidRPr="003C05E7" w14:paraId="7B13EBFB" w14:textId="77777777" w:rsidTr="00E82B09">
        <w:trPr>
          <w:trHeight w:val="230"/>
        </w:trPr>
        <w:tc>
          <w:tcPr>
            <w:tcW w:w="673" w:type="pct"/>
            <w:tcBorders>
              <w:top w:val="nil"/>
              <w:left w:val="nil"/>
              <w:bottom w:val="nil"/>
              <w:right w:val="nil"/>
            </w:tcBorders>
            <w:hideMark/>
          </w:tcPr>
          <w:p w14:paraId="7FD2CA1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QPT2</w:t>
            </w:r>
          </w:p>
        </w:tc>
        <w:tc>
          <w:tcPr>
            <w:tcW w:w="672" w:type="pct"/>
            <w:tcBorders>
              <w:top w:val="nil"/>
              <w:left w:val="nil"/>
              <w:bottom w:val="nil"/>
              <w:right w:val="nil"/>
            </w:tcBorders>
            <w:hideMark/>
          </w:tcPr>
          <w:p w14:paraId="549F6F1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866.27</w:t>
            </w:r>
          </w:p>
        </w:tc>
        <w:tc>
          <w:tcPr>
            <w:tcW w:w="625" w:type="pct"/>
            <w:tcBorders>
              <w:top w:val="nil"/>
              <w:left w:val="nil"/>
              <w:bottom w:val="nil"/>
              <w:right w:val="nil"/>
            </w:tcBorders>
            <w:hideMark/>
          </w:tcPr>
          <w:p w14:paraId="037632C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0.86627</w:t>
            </w:r>
          </w:p>
        </w:tc>
        <w:tc>
          <w:tcPr>
            <w:tcW w:w="722" w:type="pct"/>
            <w:tcBorders>
              <w:top w:val="nil"/>
              <w:left w:val="nil"/>
              <w:bottom w:val="nil"/>
              <w:right w:val="nil"/>
            </w:tcBorders>
            <w:hideMark/>
          </w:tcPr>
          <w:p w14:paraId="6887D41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25.66</w:t>
            </w:r>
          </w:p>
        </w:tc>
        <w:tc>
          <w:tcPr>
            <w:tcW w:w="720" w:type="pct"/>
            <w:tcBorders>
              <w:top w:val="nil"/>
              <w:left w:val="nil"/>
              <w:bottom w:val="nil"/>
              <w:right w:val="nil"/>
            </w:tcBorders>
            <w:hideMark/>
          </w:tcPr>
          <w:p w14:paraId="3DDF51B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0.02566</w:t>
            </w:r>
          </w:p>
        </w:tc>
        <w:tc>
          <w:tcPr>
            <w:tcW w:w="817" w:type="pct"/>
            <w:tcBorders>
              <w:top w:val="nil"/>
              <w:left w:val="nil"/>
              <w:bottom w:val="nil"/>
              <w:right w:val="nil"/>
            </w:tcBorders>
            <w:hideMark/>
          </w:tcPr>
          <w:p w14:paraId="3B4F970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80.09</w:t>
            </w:r>
          </w:p>
        </w:tc>
        <w:tc>
          <w:tcPr>
            <w:tcW w:w="770" w:type="pct"/>
            <w:tcBorders>
              <w:top w:val="nil"/>
              <w:left w:val="nil"/>
              <w:bottom w:val="nil"/>
              <w:right w:val="nil"/>
            </w:tcBorders>
            <w:hideMark/>
          </w:tcPr>
          <w:p w14:paraId="7761B97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0.08009</w:t>
            </w:r>
          </w:p>
        </w:tc>
      </w:tr>
      <w:tr w:rsidR="003C05E7" w:rsidRPr="003C05E7" w14:paraId="5074074A" w14:textId="77777777" w:rsidTr="00E82B09">
        <w:trPr>
          <w:trHeight w:val="230"/>
        </w:trPr>
        <w:tc>
          <w:tcPr>
            <w:tcW w:w="673" w:type="pct"/>
            <w:tcBorders>
              <w:top w:val="nil"/>
              <w:left w:val="nil"/>
              <w:bottom w:val="nil"/>
              <w:right w:val="nil"/>
            </w:tcBorders>
            <w:hideMark/>
          </w:tcPr>
          <w:p w14:paraId="4650E46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QPT3</w:t>
            </w:r>
          </w:p>
        </w:tc>
        <w:tc>
          <w:tcPr>
            <w:tcW w:w="672" w:type="pct"/>
            <w:tcBorders>
              <w:top w:val="nil"/>
              <w:left w:val="nil"/>
              <w:bottom w:val="nil"/>
              <w:right w:val="nil"/>
            </w:tcBorders>
            <w:hideMark/>
          </w:tcPr>
          <w:p w14:paraId="28575D1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828.37</w:t>
            </w:r>
          </w:p>
        </w:tc>
        <w:tc>
          <w:tcPr>
            <w:tcW w:w="625" w:type="pct"/>
            <w:tcBorders>
              <w:top w:val="nil"/>
              <w:left w:val="nil"/>
              <w:bottom w:val="nil"/>
              <w:right w:val="nil"/>
            </w:tcBorders>
            <w:hideMark/>
          </w:tcPr>
          <w:p w14:paraId="3A9B507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0.82837</w:t>
            </w:r>
          </w:p>
        </w:tc>
        <w:tc>
          <w:tcPr>
            <w:tcW w:w="722" w:type="pct"/>
            <w:tcBorders>
              <w:top w:val="nil"/>
              <w:left w:val="nil"/>
              <w:bottom w:val="nil"/>
              <w:right w:val="nil"/>
            </w:tcBorders>
            <w:hideMark/>
          </w:tcPr>
          <w:p w14:paraId="736AAA8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20.43</w:t>
            </w:r>
          </w:p>
        </w:tc>
        <w:tc>
          <w:tcPr>
            <w:tcW w:w="720" w:type="pct"/>
            <w:tcBorders>
              <w:top w:val="nil"/>
              <w:left w:val="nil"/>
              <w:bottom w:val="nil"/>
              <w:right w:val="nil"/>
            </w:tcBorders>
            <w:hideMark/>
          </w:tcPr>
          <w:p w14:paraId="5E1D4AA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0.02043</w:t>
            </w:r>
          </w:p>
        </w:tc>
        <w:tc>
          <w:tcPr>
            <w:tcW w:w="817" w:type="pct"/>
            <w:tcBorders>
              <w:top w:val="nil"/>
              <w:left w:val="nil"/>
              <w:bottom w:val="nil"/>
              <w:right w:val="nil"/>
            </w:tcBorders>
            <w:hideMark/>
          </w:tcPr>
          <w:p w14:paraId="24C585F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75.23</w:t>
            </w:r>
          </w:p>
        </w:tc>
        <w:tc>
          <w:tcPr>
            <w:tcW w:w="770" w:type="pct"/>
            <w:tcBorders>
              <w:top w:val="nil"/>
              <w:left w:val="nil"/>
              <w:bottom w:val="nil"/>
              <w:right w:val="nil"/>
            </w:tcBorders>
            <w:hideMark/>
          </w:tcPr>
          <w:p w14:paraId="48B12F6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0.07523</w:t>
            </w:r>
          </w:p>
        </w:tc>
      </w:tr>
      <w:tr w:rsidR="003C05E7" w:rsidRPr="003C05E7" w14:paraId="5A808B31" w14:textId="77777777" w:rsidTr="00E82B09">
        <w:trPr>
          <w:trHeight w:val="230"/>
        </w:trPr>
        <w:tc>
          <w:tcPr>
            <w:tcW w:w="673" w:type="pct"/>
            <w:tcBorders>
              <w:top w:val="nil"/>
              <w:left w:val="nil"/>
              <w:bottom w:val="nil"/>
              <w:right w:val="nil"/>
            </w:tcBorders>
            <w:hideMark/>
          </w:tcPr>
          <w:p w14:paraId="0E48744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QPT4</w:t>
            </w:r>
          </w:p>
        </w:tc>
        <w:tc>
          <w:tcPr>
            <w:tcW w:w="672" w:type="pct"/>
            <w:tcBorders>
              <w:top w:val="nil"/>
              <w:left w:val="nil"/>
              <w:bottom w:val="nil"/>
              <w:right w:val="nil"/>
            </w:tcBorders>
            <w:hideMark/>
          </w:tcPr>
          <w:p w14:paraId="0CA2A6B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1070.30</w:t>
            </w:r>
          </w:p>
        </w:tc>
        <w:tc>
          <w:tcPr>
            <w:tcW w:w="625" w:type="pct"/>
            <w:tcBorders>
              <w:top w:val="nil"/>
              <w:left w:val="nil"/>
              <w:bottom w:val="nil"/>
              <w:right w:val="nil"/>
            </w:tcBorders>
            <w:hideMark/>
          </w:tcPr>
          <w:p w14:paraId="56E152F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1.07030</w:t>
            </w:r>
          </w:p>
        </w:tc>
        <w:tc>
          <w:tcPr>
            <w:tcW w:w="722" w:type="pct"/>
            <w:tcBorders>
              <w:top w:val="nil"/>
              <w:left w:val="nil"/>
              <w:bottom w:val="nil"/>
              <w:right w:val="nil"/>
            </w:tcBorders>
            <w:hideMark/>
          </w:tcPr>
          <w:p w14:paraId="1D382A2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22.56</w:t>
            </w:r>
          </w:p>
        </w:tc>
        <w:tc>
          <w:tcPr>
            <w:tcW w:w="720" w:type="pct"/>
            <w:tcBorders>
              <w:top w:val="nil"/>
              <w:left w:val="nil"/>
              <w:bottom w:val="nil"/>
              <w:right w:val="nil"/>
            </w:tcBorders>
            <w:hideMark/>
          </w:tcPr>
          <w:p w14:paraId="0EB5763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0.02256</w:t>
            </w:r>
          </w:p>
        </w:tc>
        <w:tc>
          <w:tcPr>
            <w:tcW w:w="817" w:type="pct"/>
            <w:tcBorders>
              <w:top w:val="nil"/>
              <w:left w:val="nil"/>
              <w:bottom w:val="nil"/>
              <w:right w:val="nil"/>
            </w:tcBorders>
            <w:hideMark/>
          </w:tcPr>
          <w:p w14:paraId="62847B8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95.57</w:t>
            </w:r>
          </w:p>
        </w:tc>
        <w:tc>
          <w:tcPr>
            <w:tcW w:w="770" w:type="pct"/>
            <w:tcBorders>
              <w:top w:val="nil"/>
              <w:left w:val="nil"/>
              <w:bottom w:val="nil"/>
              <w:right w:val="nil"/>
            </w:tcBorders>
            <w:hideMark/>
          </w:tcPr>
          <w:p w14:paraId="0F841E0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0.09557</w:t>
            </w:r>
          </w:p>
        </w:tc>
      </w:tr>
      <w:tr w:rsidR="003C05E7" w:rsidRPr="003C05E7" w14:paraId="25DDE9D2" w14:textId="77777777" w:rsidTr="00E82B09">
        <w:trPr>
          <w:trHeight w:val="230"/>
        </w:trPr>
        <w:tc>
          <w:tcPr>
            <w:tcW w:w="673" w:type="pct"/>
            <w:tcBorders>
              <w:top w:val="nil"/>
              <w:left w:val="nil"/>
              <w:bottom w:val="nil"/>
              <w:right w:val="nil"/>
            </w:tcBorders>
            <w:hideMark/>
          </w:tcPr>
          <w:p w14:paraId="1068CDC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QPT5</w:t>
            </w:r>
          </w:p>
        </w:tc>
        <w:tc>
          <w:tcPr>
            <w:tcW w:w="672" w:type="pct"/>
            <w:tcBorders>
              <w:top w:val="nil"/>
              <w:left w:val="nil"/>
              <w:bottom w:val="nil"/>
              <w:right w:val="nil"/>
            </w:tcBorders>
            <w:hideMark/>
          </w:tcPr>
          <w:p w14:paraId="1FAB82F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1110.05</w:t>
            </w:r>
          </w:p>
        </w:tc>
        <w:tc>
          <w:tcPr>
            <w:tcW w:w="625" w:type="pct"/>
            <w:tcBorders>
              <w:top w:val="nil"/>
              <w:left w:val="nil"/>
              <w:bottom w:val="nil"/>
              <w:right w:val="nil"/>
            </w:tcBorders>
            <w:hideMark/>
          </w:tcPr>
          <w:p w14:paraId="11CB391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1.11005</w:t>
            </w:r>
          </w:p>
        </w:tc>
        <w:tc>
          <w:tcPr>
            <w:tcW w:w="722" w:type="pct"/>
            <w:tcBorders>
              <w:top w:val="nil"/>
              <w:left w:val="nil"/>
              <w:bottom w:val="nil"/>
              <w:right w:val="nil"/>
            </w:tcBorders>
            <w:hideMark/>
          </w:tcPr>
          <w:p w14:paraId="3C5AADA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17.54</w:t>
            </w:r>
          </w:p>
        </w:tc>
        <w:tc>
          <w:tcPr>
            <w:tcW w:w="720" w:type="pct"/>
            <w:tcBorders>
              <w:top w:val="nil"/>
              <w:left w:val="nil"/>
              <w:bottom w:val="nil"/>
              <w:right w:val="nil"/>
            </w:tcBorders>
            <w:hideMark/>
          </w:tcPr>
          <w:p w14:paraId="7DC5C32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0.01754</w:t>
            </w:r>
          </w:p>
        </w:tc>
        <w:tc>
          <w:tcPr>
            <w:tcW w:w="817" w:type="pct"/>
            <w:tcBorders>
              <w:top w:val="nil"/>
              <w:left w:val="nil"/>
              <w:bottom w:val="nil"/>
              <w:right w:val="nil"/>
            </w:tcBorders>
            <w:hideMark/>
          </w:tcPr>
          <w:p w14:paraId="26DB977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75.03</w:t>
            </w:r>
          </w:p>
        </w:tc>
        <w:tc>
          <w:tcPr>
            <w:tcW w:w="770" w:type="pct"/>
            <w:tcBorders>
              <w:top w:val="nil"/>
              <w:left w:val="nil"/>
              <w:bottom w:val="nil"/>
              <w:right w:val="nil"/>
            </w:tcBorders>
            <w:hideMark/>
          </w:tcPr>
          <w:p w14:paraId="514D846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0.07503</w:t>
            </w:r>
          </w:p>
        </w:tc>
      </w:tr>
      <w:tr w:rsidR="003C05E7" w:rsidRPr="003C05E7" w14:paraId="66281AB3" w14:textId="77777777" w:rsidTr="00E82B09">
        <w:trPr>
          <w:trHeight w:val="230"/>
        </w:trPr>
        <w:tc>
          <w:tcPr>
            <w:tcW w:w="673" w:type="pct"/>
            <w:tcBorders>
              <w:top w:val="nil"/>
              <w:left w:val="nil"/>
              <w:bottom w:val="nil"/>
              <w:right w:val="nil"/>
            </w:tcBorders>
            <w:hideMark/>
          </w:tcPr>
          <w:p w14:paraId="4D5FD4C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QPT6</w:t>
            </w:r>
          </w:p>
        </w:tc>
        <w:tc>
          <w:tcPr>
            <w:tcW w:w="672" w:type="pct"/>
            <w:tcBorders>
              <w:top w:val="nil"/>
              <w:left w:val="nil"/>
              <w:bottom w:val="nil"/>
              <w:right w:val="nil"/>
            </w:tcBorders>
            <w:hideMark/>
          </w:tcPr>
          <w:p w14:paraId="7073F9E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718.42</w:t>
            </w:r>
          </w:p>
        </w:tc>
        <w:tc>
          <w:tcPr>
            <w:tcW w:w="625" w:type="pct"/>
            <w:tcBorders>
              <w:top w:val="nil"/>
              <w:left w:val="nil"/>
              <w:bottom w:val="nil"/>
              <w:right w:val="nil"/>
            </w:tcBorders>
            <w:hideMark/>
          </w:tcPr>
          <w:p w14:paraId="2C4680D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0.71842</w:t>
            </w:r>
          </w:p>
        </w:tc>
        <w:tc>
          <w:tcPr>
            <w:tcW w:w="722" w:type="pct"/>
            <w:tcBorders>
              <w:top w:val="nil"/>
              <w:left w:val="nil"/>
              <w:bottom w:val="nil"/>
              <w:right w:val="nil"/>
            </w:tcBorders>
            <w:hideMark/>
          </w:tcPr>
          <w:p w14:paraId="27CA5A7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46.19</w:t>
            </w:r>
          </w:p>
        </w:tc>
        <w:tc>
          <w:tcPr>
            <w:tcW w:w="720" w:type="pct"/>
            <w:tcBorders>
              <w:top w:val="nil"/>
              <w:left w:val="nil"/>
              <w:bottom w:val="nil"/>
              <w:right w:val="nil"/>
            </w:tcBorders>
            <w:hideMark/>
          </w:tcPr>
          <w:p w14:paraId="18FCE88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0.04619</w:t>
            </w:r>
          </w:p>
        </w:tc>
        <w:tc>
          <w:tcPr>
            <w:tcW w:w="817" w:type="pct"/>
            <w:tcBorders>
              <w:top w:val="nil"/>
              <w:left w:val="nil"/>
              <w:bottom w:val="nil"/>
              <w:right w:val="nil"/>
            </w:tcBorders>
            <w:hideMark/>
          </w:tcPr>
          <w:p w14:paraId="3970B14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59.27</w:t>
            </w:r>
          </w:p>
        </w:tc>
        <w:tc>
          <w:tcPr>
            <w:tcW w:w="770" w:type="pct"/>
            <w:tcBorders>
              <w:top w:val="nil"/>
              <w:left w:val="nil"/>
              <w:bottom w:val="nil"/>
              <w:right w:val="nil"/>
            </w:tcBorders>
            <w:hideMark/>
          </w:tcPr>
          <w:p w14:paraId="334E83E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0.05927</w:t>
            </w:r>
          </w:p>
        </w:tc>
      </w:tr>
      <w:tr w:rsidR="003C05E7" w:rsidRPr="003C05E7" w14:paraId="122AB978" w14:textId="77777777" w:rsidTr="00E82B09">
        <w:trPr>
          <w:trHeight w:val="230"/>
        </w:trPr>
        <w:tc>
          <w:tcPr>
            <w:tcW w:w="673" w:type="pct"/>
            <w:tcBorders>
              <w:top w:val="nil"/>
              <w:left w:val="nil"/>
              <w:bottom w:val="nil"/>
              <w:right w:val="nil"/>
            </w:tcBorders>
            <w:hideMark/>
          </w:tcPr>
          <w:p w14:paraId="2B952BA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Control</w:t>
            </w:r>
          </w:p>
        </w:tc>
        <w:tc>
          <w:tcPr>
            <w:tcW w:w="672" w:type="pct"/>
            <w:tcBorders>
              <w:top w:val="nil"/>
              <w:left w:val="nil"/>
              <w:bottom w:val="nil"/>
              <w:right w:val="nil"/>
            </w:tcBorders>
            <w:hideMark/>
          </w:tcPr>
          <w:p w14:paraId="14B9863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71.28</w:t>
            </w:r>
          </w:p>
        </w:tc>
        <w:tc>
          <w:tcPr>
            <w:tcW w:w="625" w:type="pct"/>
            <w:tcBorders>
              <w:top w:val="nil"/>
              <w:left w:val="nil"/>
              <w:bottom w:val="nil"/>
              <w:right w:val="nil"/>
            </w:tcBorders>
            <w:hideMark/>
          </w:tcPr>
          <w:p w14:paraId="2C5E6A7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0.07128</w:t>
            </w:r>
          </w:p>
        </w:tc>
        <w:tc>
          <w:tcPr>
            <w:tcW w:w="722" w:type="pct"/>
            <w:tcBorders>
              <w:top w:val="nil"/>
              <w:left w:val="nil"/>
              <w:bottom w:val="nil"/>
              <w:right w:val="nil"/>
            </w:tcBorders>
            <w:hideMark/>
          </w:tcPr>
          <w:p w14:paraId="3D27D89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31.94</w:t>
            </w:r>
          </w:p>
        </w:tc>
        <w:tc>
          <w:tcPr>
            <w:tcW w:w="720" w:type="pct"/>
            <w:tcBorders>
              <w:top w:val="nil"/>
              <w:left w:val="nil"/>
              <w:bottom w:val="nil"/>
              <w:right w:val="nil"/>
            </w:tcBorders>
            <w:hideMark/>
          </w:tcPr>
          <w:p w14:paraId="3CADB00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0.03194</w:t>
            </w:r>
          </w:p>
        </w:tc>
        <w:tc>
          <w:tcPr>
            <w:tcW w:w="817" w:type="pct"/>
            <w:tcBorders>
              <w:top w:val="nil"/>
              <w:left w:val="nil"/>
              <w:bottom w:val="nil"/>
              <w:right w:val="nil"/>
            </w:tcBorders>
            <w:hideMark/>
          </w:tcPr>
          <w:p w14:paraId="6E47418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15.84</w:t>
            </w:r>
          </w:p>
        </w:tc>
        <w:tc>
          <w:tcPr>
            <w:tcW w:w="770" w:type="pct"/>
            <w:tcBorders>
              <w:top w:val="nil"/>
              <w:left w:val="nil"/>
              <w:bottom w:val="nil"/>
              <w:right w:val="nil"/>
            </w:tcBorders>
            <w:hideMark/>
          </w:tcPr>
          <w:p w14:paraId="3EA9C65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0.01584</w:t>
            </w:r>
          </w:p>
        </w:tc>
      </w:tr>
      <w:tr w:rsidR="003C05E7" w:rsidRPr="003C05E7" w14:paraId="17C907C8" w14:textId="77777777" w:rsidTr="00E82B09">
        <w:trPr>
          <w:trHeight w:val="230"/>
        </w:trPr>
        <w:tc>
          <w:tcPr>
            <w:tcW w:w="673" w:type="pct"/>
            <w:tcBorders>
              <w:top w:val="nil"/>
              <w:left w:val="nil"/>
              <w:bottom w:val="nil"/>
              <w:right w:val="nil"/>
            </w:tcBorders>
            <w:hideMark/>
          </w:tcPr>
          <w:p w14:paraId="0C19FD7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Mean</w:t>
            </w:r>
          </w:p>
        </w:tc>
        <w:tc>
          <w:tcPr>
            <w:tcW w:w="672" w:type="pct"/>
            <w:tcBorders>
              <w:top w:val="nil"/>
              <w:left w:val="nil"/>
              <w:bottom w:val="nil"/>
              <w:right w:val="nil"/>
            </w:tcBorders>
            <w:hideMark/>
          </w:tcPr>
          <w:p w14:paraId="5C1DCC5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930.57</w:t>
            </w:r>
          </w:p>
        </w:tc>
        <w:tc>
          <w:tcPr>
            <w:tcW w:w="625" w:type="pct"/>
            <w:tcBorders>
              <w:top w:val="nil"/>
              <w:left w:val="nil"/>
              <w:bottom w:val="nil"/>
              <w:right w:val="nil"/>
            </w:tcBorders>
            <w:hideMark/>
          </w:tcPr>
          <w:p w14:paraId="7E3621F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0.93057</w:t>
            </w:r>
          </w:p>
        </w:tc>
        <w:tc>
          <w:tcPr>
            <w:tcW w:w="722" w:type="pct"/>
            <w:tcBorders>
              <w:top w:val="nil"/>
              <w:left w:val="nil"/>
              <w:bottom w:val="nil"/>
              <w:right w:val="nil"/>
            </w:tcBorders>
            <w:hideMark/>
          </w:tcPr>
          <w:p w14:paraId="7DC0F4B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25.34</w:t>
            </w:r>
          </w:p>
        </w:tc>
        <w:tc>
          <w:tcPr>
            <w:tcW w:w="720" w:type="pct"/>
            <w:tcBorders>
              <w:top w:val="nil"/>
              <w:left w:val="nil"/>
              <w:bottom w:val="nil"/>
              <w:right w:val="nil"/>
            </w:tcBorders>
            <w:hideMark/>
          </w:tcPr>
          <w:p w14:paraId="6E77F18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0.02534</w:t>
            </w:r>
          </w:p>
        </w:tc>
        <w:tc>
          <w:tcPr>
            <w:tcW w:w="817" w:type="pct"/>
            <w:tcBorders>
              <w:top w:val="nil"/>
              <w:left w:val="nil"/>
              <w:bottom w:val="nil"/>
              <w:right w:val="nil"/>
            </w:tcBorders>
            <w:hideMark/>
          </w:tcPr>
          <w:p w14:paraId="0A7ACAE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76.28</w:t>
            </w:r>
          </w:p>
        </w:tc>
        <w:tc>
          <w:tcPr>
            <w:tcW w:w="770" w:type="pct"/>
            <w:tcBorders>
              <w:top w:val="nil"/>
              <w:left w:val="nil"/>
              <w:bottom w:val="nil"/>
              <w:right w:val="nil"/>
            </w:tcBorders>
            <w:hideMark/>
          </w:tcPr>
          <w:p w14:paraId="23C6AC3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0.07628</w:t>
            </w:r>
          </w:p>
        </w:tc>
      </w:tr>
      <w:tr w:rsidR="003C05E7" w:rsidRPr="003C05E7" w14:paraId="6C52375A" w14:textId="77777777" w:rsidTr="00E82B09">
        <w:trPr>
          <w:trHeight w:val="230"/>
        </w:trPr>
        <w:tc>
          <w:tcPr>
            <w:tcW w:w="673" w:type="pct"/>
            <w:tcBorders>
              <w:top w:val="nil"/>
              <w:left w:val="nil"/>
              <w:bottom w:val="single" w:sz="4" w:space="0" w:color="000000" w:themeColor="text1"/>
              <w:right w:val="nil"/>
            </w:tcBorders>
            <w:hideMark/>
          </w:tcPr>
          <w:p w14:paraId="163C42A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World Avg</w:t>
            </w:r>
          </w:p>
        </w:tc>
        <w:tc>
          <w:tcPr>
            <w:tcW w:w="672" w:type="pct"/>
            <w:tcBorders>
              <w:top w:val="nil"/>
              <w:left w:val="nil"/>
              <w:bottom w:val="single" w:sz="4" w:space="0" w:color="000000" w:themeColor="text1"/>
              <w:right w:val="nil"/>
            </w:tcBorders>
            <w:hideMark/>
          </w:tcPr>
          <w:p w14:paraId="20D6911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400.00</w:t>
            </w:r>
          </w:p>
        </w:tc>
        <w:tc>
          <w:tcPr>
            <w:tcW w:w="625" w:type="pct"/>
            <w:tcBorders>
              <w:top w:val="nil"/>
              <w:left w:val="nil"/>
              <w:bottom w:val="single" w:sz="4" w:space="0" w:color="000000" w:themeColor="text1"/>
              <w:right w:val="nil"/>
            </w:tcBorders>
            <w:hideMark/>
          </w:tcPr>
          <w:p w14:paraId="6289A3B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722" w:type="pct"/>
            <w:tcBorders>
              <w:top w:val="nil"/>
              <w:left w:val="nil"/>
              <w:bottom w:val="single" w:sz="4" w:space="0" w:color="000000" w:themeColor="text1"/>
              <w:right w:val="nil"/>
            </w:tcBorders>
            <w:hideMark/>
          </w:tcPr>
          <w:p w14:paraId="555B1E7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35.00</w:t>
            </w:r>
          </w:p>
        </w:tc>
        <w:tc>
          <w:tcPr>
            <w:tcW w:w="720" w:type="pct"/>
            <w:tcBorders>
              <w:top w:val="nil"/>
              <w:left w:val="nil"/>
              <w:bottom w:val="single" w:sz="4" w:space="0" w:color="000000" w:themeColor="text1"/>
              <w:right w:val="nil"/>
            </w:tcBorders>
            <w:hideMark/>
          </w:tcPr>
          <w:p w14:paraId="23AD8E4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c>
          <w:tcPr>
            <w:tcW w:w="817" w:type="pct"/>
            <w:tcBorders>
              <w:top w:val="nil"/>
              <w:left w:val="nil"/>
              <w:bottom w:val="single" w:sz="4" w:space="0" w:color="000000" w:themeColor="text1"/>
              <w:right w:val="nil"/>
            </w:tcBorders>
            <w:hideMark/>
          </w:tcPr>
          <w:p w14:paraId="5438371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30.00</w:t>
            </w:r>
          </w:p>
        </w:tc>
        <w:tc>
          <w:tcPr>
            <w:tcW w:w="770" w:type="pct"/>
            <w:tcBorders>
              <w:top w:val="nil"/>
              <w:left w:val="nil"/>
              <w:bottom w:val="single" w:sz="4" w:space="0" w:color="000000" w:themeColor="text1"/>
              <w:right w:val="nil"/>
            </w:tcBorders>
            <w:hideMark/>
          </w:tcPr>
          <w:p w14:paraId="0BA5A25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w:t>
            </w:r>
          </w:p>
        </w:tc>
      </w:tr>
    </w:tbl>
    <w:p w14:paraId="29225DAD" w14:textId="4A4E523A" w:rsidR="003C05E7" w:rsidRPr="003C05E7" w:rsidRDefault="003C05E7" w:rsidP="003C05E7">
      <w:pPr>
        <w:spacing w:after="0" w:line="240" w:lineRule="auto"/>
        <w:rPr>
          <w:rFonts w:ascii="Times New Roman" w:eastAsia="Times New Roman" w:hAnsi="Times New Roman" w:cs="Times New Roman"/>
          <w:sz w:val="20"/>
          <w:szCs w:val="20"/>
          <w:lang w:val="zh-CN" w:eastAsia="zh-CN"/>
        </w:rPr>
      </w:pPr>
      <w:r w:rsidRPr="003C05E7">
        <w:rPr>
          <w:rFonts w:ascii="Times New Roman" w:hAnsi="Times New Roman" w:cs="Times New Roman"/>
          <w:i/>
          <w:iCs/>
          <w:sz w:val="20"/>
          <w:szCs w:val="20"/>
        </w:rPr>
        <w:t>Note</w:t>
      </w:r>
      <w:r w:rsidR="00D3135F">
        <w:rPr>
          <w:rFonts w:ascii="Times New Roman" w:hAnsi="Times New Roman" w:cs="Times New Roman"/>
          <w:i/>
          <w:iCs/>
          <w:sz w:val="20"/>
          <w:szCs w:val="20"/>
        </w:rPr>
        <w:t>:</w:t>
      </w:r>
      <w:r w:rsidRPr="003C05E7">
        <w:rPr>
          <w:rFonts w:ascii="Times New Roman" w:hAnsi="Times New Roman" w:cs="Times New Roman"/>
          <w:i/>
          <w:iCs/>
          <w:sz w:val="20"/>
          <w:szCs w:val="20"/>
        </w:rPr>
        <w:t xml:space="preserve"> Conversion: 1 </w:t>
      </w:r>
      <w:proofErr w:type="spellStart"/>
      <w:r w:rsidRPr="003C05E7">
        <w:rPr>
          <w:rFonts w:ascii="Times New Roman" w:hAnsi="Times New Roman" w:cs="Times New Roman"/>
          <w:i/>
          <w:iCs/>
          <w:sz w:val="20"/>
          <w:szCs w:val="20"/>
        </w:rPr>
        <w:t>Bq</w:t>
      </w:r>
      <w:proofErr w:type="spellEnd"/>
      <w:r w:rsidRPr="003C05E7">
        <w:rPr>
          <w:rFonts w:ascii="Times New Roman" w:hAnsi="Times New Roman" w:cs="Times New Roman"/>
          <w:i/>
          <w:iCs/>
          <w:sz w:val="20"/>
          <w:szCs w:val="20"/>
        </w:rPr>
        <w:t xml:space="preserve"> kg</w:t>
      </w:r>
      <w:r w:rsidRPr="003C05E7">
        <w:rPr>
          <w:rFonts w:ascii="Times New Roman" w:eastAsia="MS Gothic" w:hAnsi="Times New Roman" w:cs="Times New Roman"/>
          <w:i/>
          <w:iCs/>
          <w:sz w:val="20"/>
          <w:szCs w:val="20"/>
        </w:rPr>
        <w:t>⁻</w:t>
      </w:r>
      <w:r w:rsidRPr="003C05E7">
        <w:rPr>
          <w:rFonts w:ascii="Times New Roman" w:hAnsi="Times New Roman" w:cs="Times New Roman"/>
          <w:i/>
          <w:iCs/>
          <w:sz w:val="20"/>
          <w:szCs w:val="20"/>
        </w:rPr>
        <w:t>¹ = 1 × 10</w:t>
      </w:r>
      <w:r w:rsidRPr="003C05E7">
        <w:rPr>
          <w:rFonts w:ascii="Times New Roman" w:eastAsia="MS Gothic" w:hAnsi="Times New Roman" w:cs="Times New Roman"/>
          <w:i/>
          <w:iCs/>
          <w:sz w:val="20"/>
          <w:szCs w:val="20"/>
        </w:rPr>
        <w:t>⁻</w:t>
      </w:r>
      <w:r w:rsidRPr="003C05E7">
        <w:rPr>
          <w:rFonts w:ascii="Times New Roman" w:hAnsi="Times New Roman" w:cs="Times New Roman"/>
          <w:i/>
          <w:iCs/>
          <w:sz w:val="20"/>
          <w:szCs w:val="20"/>
        </w:rPr>
        <w:t xml:space="preserve">³ </w:t>
      </w:r>
      <w:proofErr w:type="spellStart"/>
      <w:r w:rsidRPr="003C05E7">
        <w:rPr>
          <w:rFonts w:ascii="Times New Roman" w:hAnsi="Times New Roman" w:cs="Times New Roman"/>
          <w:i/>
          <w:iCs/>
          <w:sz w:val="20"/>
          <w:szCs w:val="20"/>
        </w:rPr>
        <w:t>Bq</w:t>
      </w:r>
      <w:proofErr w:type="spellEnd"/>
      <w:r w:rsidRPr="003C05E7">
        <w:rPr>
          <w:rFonts w:ascii="Times New Roman" w:hAnsi="Times New Roman" w:cs="Times New Roman"/>
          <w:i/>
          <w:iCs/>
          <w:sz w:val="20"/>
          <w:szCs w:val="20"/>
        </w:rPr>
        <w:t xml:space="preserve"> g</w:t>
      </w:r>
      <w:r w:rsidRPr="003C05E7">
        <w:rPr>
          <w:rFonts w:ascii="Times New Roman" w:eastAsia="MS Gothic" w:hAnsi="Times New Roman" w:cs="Times New Roman"/>
          <w:i/>
          <w:iCs/>
          <w:sz w:val="20"/>
          <w:szCs w:val="20"/>
        </w:rPr>
        <w:t>⁻</w:t>
      </w:r>
      <w:r w:rsidRPr="003C05E7">
        <w:rPr>
          <w:rFonts w:ascii="Times New Roman" w:hAnsi="Times New Roman" w:cs="Times New Roman"/>
          <w:i/>
          <w:iCs/>
          <w:sz w:val="20"/>
          <w:szCs w:val="20"/>
        </w:rPr>
        <w:t xml:space="preserve">¹. Bold row = </w:t>
      </w:r>
      <w:r w:rsidR="00D3135F" w:rsidRPr="003C05E7">
        <w:rPr>
          <w:rFonts w:ascii="Times New Roman" w:hAnsi="Times New Roman" w:cs="Times New Roman"/>
          <w:i/>
          <w:iCs/>
          <w:sz w:val="20"/>
          <w:szCs w:val="20"/>
        </w:rPr>
        <w:t xml:space="preserve">Mean Values Used </w:t>
      </w:r>
      <w:r w:rsidRPr="003C05E7">
        <w:rPr>
          <w:rFonts w:ascii="Times New Roman" w:hAnsi="Times New Roman" w:cs="Times New Roman"/>
          <w:i/>
          <w:iCs/>
          <w:sz w:val="20"/>
          <w:szCs w:val="20"/>
        </w:rPr>
        <w:t xml:space="preserve">as RESRAD </w:t>
      </w:r>
      <w:r w:rsidR="00D3135F" w:rsidRPr="003C05E7">
        <w:rPr>
          <w:rFonts w:ascii="Times New Roman" w:hAnsi="Times New Roman" w:cs="Times New Roman"/>
          <w:i/>
          <w:iCs/>
          <w:sz w:val="20"/>
          <w:szCs w:val="20"/>
        </w:rPr>
        <w:t>Simulation Inputs</w:t>
      </w:r>
      <w:r w:rsidRPr="003C05E7">
        <w:rPr>
          <w:rFonts w:ascii="Times New Roman" w:hAnsi="Times New Roman" w:cs="Times New Roman"/>
          <w:i/>
          <w:iCs/>
          <w:sz w:val="20"/>
          <w:szCs w:val="20"/>
        </w:rPr>
        <w:t xml:space="preserve">. World </w:t>
      </w:r>
      <w:r w:rsidR="00D3135F" w:rsidRPr="003C05E7">
        <w:rPr>
          <w:rFonts w:ascii="Times New Roman" w:hAnsi="Times New Roman" w:cs="Times New Roman"/>
          <w:i/>
          <w:iCs/>
          <w:sz w:val="20"/>
          <w:szCs w:val="20"/>
        </w:rPr>
        <w:t xml:space="preserve">Average </w:t>
      </w:r>
      <w:r w:rsidRPr="003C05E7">
        <w:rPr>
          <w:rFonts w:ascii="Times New Roman" w:hAnsi="Times New Roman" w:cs="Times New Roman"/>
          <w:i/>
          <w:iCs/>
          <w:sz w:val="20"/>
          <w:szCs w:val="20"/>
        </w:rPr>
        <w:t>from UNSCEAR (2000)</w:t>
      </w:r>
    </w:p>
    <w:p w14:paraId="26707191" w14:textId="77777777" w:rsidR="003C05E7" w:rsidRPr="003C05E7" w:rsidRDefault="003C05E7" w:rsidP="003C05E7">
      <w:pPr>
        <w:spacing w:after="0" w:line="240" w:lineRule="auto"/>
        <w:rPr>
          <w:rFonts w:ascii="Times New Roman" w:eastAsiaTheme="minorEastAsia" w:hAnsi="Times New Roman" w:cs="Times New Roman"/>
          <w:b/>
          <w:bCs/>
          <w:i/>
          <w:iCs/>
          <w:sz w:val="20"/>
          <w:szCs w:val="20"/>
        </w:rPr>
      </w:pPr>
    </w:p>
    <w:p w14:paraId="6E96F007" w14:textId="77777777" w:rsidR="006841F5" w:rsidRDefault="006841F5" w:rsidP="003C05E7">
      <w:pPr>
        <w:spacing w:after="0" w:line="240" w:lineRule="auto"/>
        <w:rPr>
          <w:rFonts w:ascii="Times New Roman" w:hAnsi="Times New Roman" w:cs="Times New Roman"/>
          <w:b/>
          <w:bCs/>
          <w:sz w:val="20"/>
          <w:szCs w:val="20"/>
        </w:rPr>
        <w:sectPr w:rsidR="006841F5" w:rsidSect="002A637C">
          <w:type w:val="continuous"/>
          <w:pgSz w:w="12242" w:h="15842" w:code="1"/>
          <w:pgMar w:top="1440" w:right="1440" w:bottom="1440" w:left="1440" w:header="709" w:footer="709" w:gutter="0"/>
          <w:cols w:space="284"/>
          <w:docGrid w:linePitch="360"/>
        </w:sectPr>
      </w:pPr>
    </w:p>
    <w:p w14:paraId="42C19899" w14:textId="1EBA5D38" w:rsidR="003C05E7" w:rsidRPr="006841F5" w:rsidRDefault="003C05E7" w:rsidP="003C05E7">
      <w:pPr>
        <w:spacing w:after="0" w:line="240" w:lineRule="auto"/>
        <w:rPr>
          <w:rFonts w:ascii="Times New Roman" w:eastAsia="Times New Roman" w:hAnsi="Times New Roman" w:cs="Times New Roman"/>
          <w:sz w:val="20"/>
          <w:szCs w:val="20"/>
        </w:rPr>
      </w:pPr>
      <w:r w:rsidRPr="006841F5">
        <w:rPr>
          <w:rFonts w:ascii="Times New Roman" w:hAnsi="Times New Roman" w:cs="Times New Roman"/>
          <w:b/>
          <w:bCs/>
          <w:sz w:val="20"/>
          <w:szCs w:val="20"/>
        </w:rPr>
        <w:t>Total Dose Assessment at t = 0 Years</w:t>
      </w:r>
    </w:p>
    <w:p w14:paraId="18080604"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The total radiological dose contributions at t = 0 years, disaggregated by radionuclide and pathway, are presented in Table 4. The total dose across all nuclides and pathways at t = 0 was 7.878E-01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below the BRDL of 1.000E+00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but substantially exceeding the ICRP (1990) public dose limit of 0.25 mSv/yr.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K dominated the total dose at t = 0, contributing 5.155E-01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(65.44%), followed by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Ra at 2.540E-01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(32.24%) and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Th at 1.826E-02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(2.32%).</w:t>
      </w:r>
    </w:p>
    <w:p w14:paraId="56CA13A3" w14:textId="77777777" w:rsidR="006841F5" w:rsidRDefault="003C05E7" w:rsidP="003C05E7">
      <w:pPr>
        <w:spacing w:after="0" w:line="240" w:lineRule="auto"/>
        <w:jc w:val="both"/>
        <w:rPr>
          <w:rFonts w:ascii="Times New Roman" w:hAnsi="Times New Roman" w:cs="Times New Roman"/>
          <w:sz w:val="20"/>
          <w:szCs w:val="20"/>
        </w:rPr>
        <w:sectPr w:rsidR="006841F5" w:rsidSect="006841F5">
          <w:type w:val="continuous"/>
          <w:pgSz w:w="12242" w:h="15842" w:code="1"/>
          <w:pgMar w:top="1440" w:right="1440" w:bottom="1440" w:left="1440" w:header="709" w:footer="709" w:gutter="0"/>
          <w:cols w:num="2" w:space="288"/>
          <w:docGrid w:linePitch="360"/>
        </w:sectPr>
      </w:pPr>
      <w:r w:rsidRPr="003C05E7">
        <w:rPr>
          <w:rFonts w:ascii="Times New Roman" w:hAnsi="Times New Roman" w:cs="Times New Roman"/>
          <w:sz w:val="20"/>
          <w:szCs w:val="20"/>
        </w:rPr>
        <w:t>The ground (external gamma) pathway delivered the highest dose of 2.009E-01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(25.50%), followed by radon at 1.917E-01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(24.33%), plant ingestion at 1.863E-01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(23.65%), and meat ingestion at 1.526E-01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(19.37%). Milk contributed 6.504E-02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(8.26%), while inhalation and soil ingestion were negligible (4.371E-04 and 1.016E-03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respectively). Water-dependent pathways contributed zero dose at t = 0, consistent with the high </w:t>
      </w:r>
      <w:proofErr w:type="spellStart"/>
      <w:r w:rsidRPr="003C05E7">
        <w:rPr>
          <w:rFonts w:ascii="Times New Roman" w:hAnsi="Times New Roman" w:cs="Times New Roman"/>
          <w:i/>
          <w:iCs/>
          <w:sz w:val="20"/>
          <w:szCs w:val="20"/>
        </w:rPr>
        <w:t>K</w:t>
      </w:r>
      <w:r w:rsidRPr="003C05E7">
        <w:rPr>
          <w:rFonts w:ascii="Times New Roman" w:hAnsi="Times New Roman" w:cs="Times New Roman"/>
          <w:sz w:val="20"/>
          <w:szCs w:val="20"/>
          <w:vertAlign w:val="subscript"/>
        </w:rPr>
        <w:t>d</w:t>
      </w:r>
      <w:proofErr w:type="spellEnd"/>
      <w:r w:rsidRPr="003C05E7">
        <w:rPr>
          <w:rFonts w:ascii="Times New Roman" w:hAnsi="Times New Roman" w:cs="Times New Roman"/>
          <w:sz w:val="20"/>
          <w:szCs w:val="20"/>
        </w:rPr>
        <w:t xml:space="preserve"> values for all three radionuclides, which retard transport to the water table (Gil-García et al., 2009).</w:t>
      </w:r>
    </w:p>
    <w:p w14:paraId="06DB9888" w14:textId="2F832FB6"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46212A8E" w14:textId="77777777" w:rsidR="003C05E7" w:rsidRPr="003C05E7" w:rsidRDefault="003C05E7" w:rsidP="003C05E7">
      <w:pPr>
        <w:spacing w:after="0" w:line="240" w:lineRule="auto"/>
        <w:jc w:val="both"/>
        <w:rPr>
          <w:rFonts w:ascii="Times New Roman" w:eastAsia="Times New Roman" w:hAnsi="Times New Roman" w:cs="Times New Roman"/>
          <w:sz w:val="20"/>
          <w:szCs w:val="20"/>
        </w:rPr>
      </w:pPr>
      <w:r w:rsidRPr="003C05E7">
        <w:rPr>
          <w:rFonts w:ascii="Times New Roman" w:hAnsi="Times New Roman" w:cs="Times New Roman"/>
          <w:b/>
          <w:bCs/>
          <w:sz w:val="20"/>
          <w:szCs w:val="20"/>
        </w:rPr>
        <w:t xml:space="preserve">Table 4: Total Dose Contributions </w:t>
      </w:r>
      <w:proofErr w:type="spellStart"/>
      <w:r w:rsidRPr="003C05E7">
        <w:rPr>
          <w:rFonts w:ascii="Times New Roman" w:hAnsi="Times New Roman" w:cs="Times New Roman"/>
          <w:b/>
          <w:bCs/>
          <w:sz w:val="20"/>
          <w:szCs w:val="20"/>
        </w:rPr>
        <w:t>TDOSE</w:t>
      </w:r>
      <w:proofErr w:type="spellEnd"/>
      <w:r w:rsidRPr="003C05E7">
        <w:rPr>
          <w:rFonts w:ascii="Times New Roman" w:hAnsi="Times New Roman" w:cs="Times New Roman"/>
          <w:b/>
          <w:bCs/>
          <w:sz w:val="20"/>
          <w:szCs w:val="20"/>
        </w:rPr>
        <w:t>(</w:t>
      </w:r>
      <w:proofErr w:type="spellStart"/>
      <w:proofErr w:type="gramStart"/>
      <w:r w:rsidRPr="003C05E7">
        <w:rPr>
          <w:rFonts w:ascii="Times New Roman" w:hAnsi="Times New Roman" w:cs="Times New Roman"/>
          <w:b/>
          <w:bCs/>
          <w:sz w:val="20"/>
          <w:szCs w:val="20"/>
        </w:rPr>
        <w:t>i,p</w:t>
      </w:r>
      <w:proofErr w:type="gramEnd"/>
      <w:r w:rsidRPr="003C05E7">
        <w:rPr>
          <w:rFonts w:ascii="Times New Roman" w:hAnsi="Times New Roman" w:cs="Times New Roman"/>
          <w:b/>
          <w:bCs/>
          <w:sz w:val="20"/>
          <w:szCs w:val="20"/>
        </w:rPr>
        <w:t>,t</w:t>
      </w:r>
      <w:proofErr w:type="spellEnd"/>
      <w:r w:rsidRPr="003C05E7">
        <w:rPr>
          <w:rFonts w:ascii="Times New Roman" w:hAnsi="Times New Roman" w:cs="Times New Roman"/>
          <w:b/>
          <w:bCs/>
          <w:sz w:val="20"/>
          <w:szCs w:val="20"/>
        </w:rPr>
        <w:t>) for Individual Radionuclides and Pathways at t = 0 Years (mSv yr</w:t>
      </w:r>
      <w:r w:rsidRPr="003C05E7">
        <w:rPr>
          <w:rFonts w:ascii="Times New Roman" w:eastAsia="MS Gothic" w:hAnsi="Times New Roman" w:cs="Times New Roman"/>
          <w:b/>
          <w:bCs/>
          <w:sz w:val="20"/>
          <w:szCs w:val="20"/>
        </w:rPr>
        <w:t>⁻</w:t>
      </w:r>
      <w:r w:rsidRPr="003C05E7">
        <w:rPr>
          <w:rFonts w:ascii="Times New Roman" w:hAnsi="Times New Roman" w:cs="Times New Roman"/>
          <w:b/>
          <w:bCs/>
          <w:sz w:val="20"/>
          <w:szCs w:val="20"/>
        </w:rPr>
        <w:t>¹)</w:t>
      </w:r>
    </w:p>
    <w:tbl>
      <w:tblPr>
        <w:tblStyle w:val="ListTable6Colorful"/>
        <w:tblW w:w="5000" w:type="pct"/>
        <w:tblLook w:val="0620" w:firstRow="1" w:lastRow="0" w:firstColumn="0" w:lastColumn="0" w:noHBand="1" w:noVBand="1"/>
      </w:tblPr>
      <w:tblGrid>
        <w:gridCol w:w="813"/>
        <w:gridCol w:w="989"/>
        <w:gridCol w:w="1017"/>
        <w:gridCol w:w="1052"/>
        <w:gridCol w:w="990"/>
        <w:gridCol w:w="990"/>
        <w:gridCol w:w="989"/>
        <w:gridCol w:w="1170"/>
        <w:gridCol w:w="1352"/>
      </w:tblGrid>
      <w:tr w:rsidR="003C05E7" w:rsidRPr="002E79FB" w14:paraId="22BA27EC" w14:textId="77777777" w:rsidTr="002E79FB">
        <w:trPr>
          <w:cnfStyle w:val="100000000000" w:firstRow="1" w:lastRow="0" w:firstColumn="0" w:lastColumn="0" w:oddVBand="0" w:evenVBand="0" w:oddHBand="0" w:evenHBand="0" w:firstRowFirstColumn="0" w:firstRowLastColumn="0" w:lastRowFirstColumn="0" w:lastRowLastColumn="0"/>
          <w:trHeight w:val="230"/>
        </w:trPr>
        <w:tc>
          <w:tcPr>
            <w:tcW w:w="434" w:type="pct"/>
            <w:tcBorders>
              <w:top w:val="single" w:sz="4" w:space="0" w:color="000000" w:themeColor="text1"/>
              <w:left w:val="nil"/>
              <w:right w:val="nil"/>
            </w:tcBorders>
            <w:vAlign w:val="center"/>
            <w:hideMark/>
          </w:tcPr>
          <w:p w14:paraId="016A5258" w14:textId="77777777" w:rsidR="003C05E7" w:rsidRPr="002E79FB" w:rsidRDefault="003C05E7" w:rsidP="002E79FB">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Nuclide</w:t>
            </w:r>
          </w:p>
        </w:tc>
        <w:tc>
          <w:tcPr>
            <w:tcW w:w="528" w:type="pct"/>
            <w:tcBorders>
              <w:top w:val="single" w:sz="4" w:space="0" w:color="000000" w:themeColor="text1"/>
              <w:left w:val="nil"/>
              <w:right w:val="nil"/>
            </w:tcBorders>
            <w:vAlign w:val="center"/>
            <w:hideMark/>
          </w:tcPr>
          <w:p w14:paraId="66E5BBC1" w14:textId="77777777" w:rsidR="003C05E7" w:rsidRPr="002E79FB" w:rsidRDefault="003C05E7" w:rsidP="002E79FB">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Ground</w:t>
            </w:r>
          </w:p>
        </w:tc>
        <w:tc>
          <w:tcPr>
            <w:tcW w:w="543" w:type="pct"/>
            <w:tcBorders>
              <w:top w:val="single" w:sz="4" w:space="0" w:color="000000" w:themeColor="text1"/>
              <w:left w:val="nil"/>
              <w:right w:val="nil"/>
            </w:tcBorders>
            <w:vAlign w:val="center"/>
            <w:hideMark/>
          </w:tcPr>
          <w:p w14:paraId="1660C764" w14:textId="77777777" w:rsidR="003C05E7" w:rsidRPr="002E79FB" w:rsidRDefault="003C05E7" w:rsidP="002E79FB">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Inhalation</w:t>
            </w:r>
          </w:p>
        </w:tc>
        <w:tc>
          <w:tcPr>
            <w:tcW w:w="562" w:type="pct"/>
            <w:tcBorders>
              <w:top w:val="single" w:sz="4" w:space="0" w:color="000000" w:themeColor="text1"/>
              <w:left w:val="nil"/>
              <w:right w:val="nil"/>
            </w:tcBorders>
            <w:vAlign w:val="center"/>
            <w:hideMark/>
          </w:tcPr>
          <w:p w14:paraId="19CDF1F7" w14:textId="77777777" w:rsidR="003C05E7" w:rsidRPr="002E79FB" w:rsidRDefault="003C05E7" w:rsidP="002E79FB">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Radon</w:t>
            </w:r>
          </w:p>
        </w:tc>
        <w:tc>
          <w:tcPr>
            <w:tcW w:w="529" w:type="pct"/>
            <w:tcBorders>
              <w:top w:val="single" w:sz="4" w:space="0" w:color="000000" w:themeColor="text1"/>
              <w:left w:val="nil"/>
              <w:right w:val="nil"/>
            </w:tcBorders>
            <w:vAlign w:val="center"/>
            <w:hideMark/>
          </w:tcPr>
          <w:p w14:paraId="0CC851C6" w14:textId="77777777" w:rsidR="003C05E7" w:rsidRPr="002E79FB" w:rsidRDefault="003C05E7" w:rsidP="002E79FB">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Plant</w:t>
            </w:r>
          </w:p>
        </w:tc>
        <w:tc>
          <w:tcPr>
            <w:tcW w:w="529" w:type="pct"/>
            <w:tcBorders>
              <w:top w:val="single" w:sz="4" w:space="0" w:color="000000" w:themeColor="text1"/>
              <w:left w:val="nil"/>
              <w:right w:val="nil"/>
            </w:tcBorders>
            <w:vAlign w:val="center"/>
            <w:hideMark/>
          </w:tcPr>
          <w:p w14:paraId="7BF5BF84" w14:textId="77777777" w:rsidR="003C05E7" w:rsidRPr="002E79FB" w:rsidRDefault="003C05E7" w:rsidP="002E79FB">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Meat</w:t>
            </w:r>
          </w:p>
        </w:tc>
        <w:tc>
          <w:tcPr>
            <w:tcW w:w="528" w:type="pct"/>
            <w:tcBorders>
              <w:top w:val="single" w:sz="4" w:space="0" w:color="000000" w:themeColor="text1"/>
              <w:left w:val="nil"/>
              <w:right w:val="nil"/>
            </w:tcBorders>
            <w:vAlign w:val="center"/>
            <w:hideMark/>
          </w:tcPr>
          <w:p w14:paraId="1DC119B3" w14:textId="77777777" w:rsidR="003C05E7" w:rsidRPr="002E79FB" w:rsidRDefault="003C05E7" w:rsidP="002E79FB">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Milk</w:t>
            </w:r>
          </w:p>
        </w:tc>
        <w:tc>
          <w:tcPr>
            <w:tcW w:w="625" w:type="pct"/>
            <w:tcBorders>
              <w:top w:val="single" w:sz="4" w:space="0" w:color="000000" w:themeColor="text1"/>
              <w:left w:val="nil"/>
              <w:right w:val="nil"/>
            </w:tcBorders>
            <w:vAlign w:val="center"/>
            <w:hideMark/>
          </w:tcPr>
          <w:p w14:paraId="1403AD7D" w14:textId="77777777" w:rsidR="003C05E7" w:rsidRPr="002E79FB" w:rsidRDefault="003C05E7" w:rsidP="002E79FB">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Soil</w:t>
            </w:r>
          </w:p>
        </w:tc>
        <w:tc>
          <w:tcPr>
            <w:tcW w:w="722" w:type="pct"/>
            <w:tcBorders>
              <w:top w:val="single" w:sz="4" w:space="0" w:color="000000" w:themeColor="text1"/>
              <w:left w:val="nil"/>
              <w:right w:val="nil"/>
            </w:tcBorders>
            <w:vAlign w:val="center"/>
            <w:hideMark/>
          </w:tcPr>
          <w:p w14:paraId="6C23567F" w14:textId="77777777" w:rsidR="003C05E7" w:rsidRPr="002E79FB" w:rsidRDefault="003C05E7" w:rsidP="002E79FB">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All Pathways</w:t>
            </w:r>
          </w:p>
        </w:tc>
      </w:tr>
      <w:tr w:rsidR="003C05E7" w:rsidRPr="002E79FB" w14:paraId="58E35D80" w14:textId="77777777" w:rsidTr="002E79FB">
        <w:trPr>
          <w:trHeight w:val="230"/>
        </w:trPr>
        <w:tc>
          <w:tcPr>
            <w:tcW w:w="434" w:type="pct"/>
            <w:tcBorders>
              <w:top w:val="nil"/>
              <w:left w:val="nil"/>
              <w:bottom w:val="nil"/>
              <w:right w:val="nil"/>
            </w:tcBorders>
            <w:hideMark/>
          </w:tcPr>
          <w:p w14:paraId="5A9A3DDB"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⁴⁰K</w:t>
            </w:r>
          </w:p>
        </w:tc>
        <w:tc>
          <w:tcPr>
            <w:tcW w:w="528" w:type="pct"/>
            <w:tcBorders>
              <w:top w:val="nil"/>
              <w:left w:val="nil"/>
              <w:bottom w:val="nil"/>
              <w:right w:val="nil"/>
            </w:tcBorders>
            <w:hideMark/>
          </w:tcPr>
          <w:p w14:paraId="6A43F271"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1.529E-01</w:t>
            </w:r>
          </w:p>
        </w:tc>
        <w:tc>
          <w:tcPr>
            <w:tcW w:w="543" w:type="pct"/>
            <w:tcBorders>
              <w:top w:val="nil"/>
              <w:left w:val="nil"/>
              <w:bottom w:val="nil"/>
              <w:right w:val="nil"/>
            </w:tcBorders>
            <w:hideMark/>
          </w:tcPr>
          <w:p w14:paraId="4BB8CADE"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3.906E-06</w:t>
            </w:r>
          </w:p>
        </w:tc>
        <w:tc>
          <w:tcPr>
            <w:tcW w:w="562" w:type="pct"/>
            <w:tcBorders>
              <w:top w:val="nil"/>
              <w:left w:val="nil"/>
              <w:bottom w:val="nil"/>
              <w:right w:val="nil"/>
            </w:tcBorders>
            <w:hideMark/>
          </w:tcPr>
          <w:p w14:paraId="0B4B7D1F"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0.000E+00</w:t>
            </w:r>
          </w:p>
        </w:tc>
        <w:tc>
          <w:tcPr>
            <w:tcW w:w="529" w:type="pct"/>
            <w:tcBorders>
              <w:top w:val="nil"/>
              <w:left w:val="nil"/>
              <w:bottom w:val="nil"/>
              <w:right w:val="nil"/>
            </w:tcBorders>
            <w:hideMark/>
          </w:tcPr>
          <w:p w14:paraId="6A0BB2E6"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1.492E-01</w:t>
            </w:r>
          </w:p>
        </w:tc>
        <w:tc>
          <w:tcPr>
            <w:tcW w:w="529" w:type="pct"/>
            <w:tcBorders>
              <w:top w:val="nil"/>
              <w:left w:val="nil"/>
              <w:bottom w:val="nil"/>
              <w:right w:val="nil"/>
            </w:tcBorders>
            <w:hideMark/>
          </w:tcPr>
          <w:p w14:paraId="5DDB1AF0"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1.506E-01</w:t>
            </w:r>
          </w:p>
        </w:tc>
        <w:tc>
          <w:tcPr>
            <w:tcW w:w="528" w:type="pct"/>
            <w:tcBorders>
              <w:top w:val="nil"/>
              <w:left w:val="nil"/>
              <w:bottom w:val="nil"/>
              <w:right w:val="nil"/>
            </w:tcBorders>
            <w:hideMark/>
          </w:tcPr>
          <w:p w14:paraId="39A54CEB"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6.261E-02</w:t>
            </w:r>
          </w:p>
        </w:tc>
        <w:tc>
          <w:tcPr>
            <w:tcW w:w="625" w:type="pct"/>
            <w:tcBorders>
              <w:top w:val="nil"/>
              <w:left w:val="nil"/>
              <w:bottom w:val="nil"/>
              <w:right w:val="nil"/>
            </w:tcBorders>
            <w:hideMark/>
          </w:tcPr>
          <w:p w14:paraId="1584A426"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1.693E-04</w:t>
            </w:r>
          </w:p>
        </w:tc>
        <w:tc>
          <w:tcPr>
            <w:tcW w:w="722" w:type="pct"/>
            <w:tcBorders>
              <w:top w:val="nil"/>
              <w:left w:val="nil"/>
              <w:bottom w:val="nil"/>
              <w:right w:val="nil"/>
            </w:tcBorders>
            <w:hideMark/>
          </w:tcPr>
          <w:p w14:paraId="1C99F1F1"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5.155E-01</w:t>
            </w:r>
          </w:p>
        </w:tc>
      </w:tr>
      <w:tr w:rsidR="003C05E7" w:rsidRPr="002E79FB" w14:paraId="66E611AA" w14:textId="77777777" w:rsidTr="002E79FB">
        <w:trPr>
          <w:trHeight w:val="230"/>
        </w:trPr>
        <w:tc>
          <w:tcPr>
            <w:tcW w:w="434" w:type="pct"/>
            <w:tcBorders>
              <w:top w:val="nil"/>
              <w:left w:val="nil"/>
              <w:bottom w:val="nil"/>
              <w:right w:val="nil"/>
            </w:tcBorders>
            <w:hideMark/>
          </w:tcPr>
          <w:p w14:paraId="2586E51F"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²²</w:t>
            </w:r>
            <w:r w:rsidRPr="002E79FB">
              <w:rPr>
                <w:rFonts w:ascii="Times New Roman" w:eastAsia="MS Gothic" w:hAnsi="Times New Roman" w:cs="Times New Roman"/>
                <w:color w:val="000000"/>
                <w:sz w:val="18"/>
                <w:szCs w:val="18"/>
              </w:rPr>
              <w:t>⁶</w:t>
            </w:r>
            <w:r w:rsidRPr="002E79FB">
              <w:rPr>
                <w:rFonts w:ascii="Times New Roman" w:hAnsi="Times New Roman" w:cs="Times New Roman"/>
                <w:color w:val="000000"/>
                <w:sz w:val="18"/>
                <w:szCs w:val="18"/>
              </w:rPr>
              <w:t>Ra</w:t>
            </w:r>
          </w:p>
        </w:tc>
        <w:tc>
          <w:tcPr>
            <w:tcW w:w="528" w:type="pct"/>
            <w:tcBorders>
              <w:top w:val="nil"/>
              <w:left w:val="nil"/>
              <w:bottom w:val="nil"/>
              <w:right w:val="nil"/>
            </w:tcBorders>
            <w:hideMark/>
          </w:tcPr>
          <w:p w14:paraId="4310A623"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4.361E-02</w:t>
            </w:r>
          </w:p>
        </w:tc>
        <w:tc>
          <w:tcPr>
            <w:tcW w:w="543" w:type="pct"/>
            <w:tcBorders>
              <w:top w:val="nil"/>
              <w:left w:val="nil"/>
              <w:bottom w:val="nil"/>
              <w:right w:val="nil"/>
            </w:tcBorders>
            <w:hideMark/>
          </w:tcPr>
          <w:p w14:paraId="70C25851"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1.218E-05</w:t>
            </w:r>
          </w:p>
        </w:tc>
        <w:tc>
          <w:tcPr>
            <w:tcW w:w="562" w:type="pct"/>
            <w:tcBorders>
              <w:top w:val="nil"/>
              <w:left w:val="nil"/>
              <w:bottom w:val="nil"/>
              <w:right w:val="nil"/>
            </w:tcBorders>
            <w:hideMark/>
          </w:tcPr>
          <w:p w14:paraId="6AC2FFD4"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1.916E-01</w:t>
            </w:r>
          </w:p>
        </w:tc>
        <w:tc>
          <w:tcPr>
            <w:tcW w:w="529" w:type="pct"/>
            <w:tcBorders>
              <w:top w:val="nil"/>
              <w:left w:val="nil"/>
              <w:bottom w:val="nil"/>
              <w:right w:val="nil"/>
            </w:tcBorders>
            <w:hideMark/>
          </w:tcPr>
          <w:p w14:paraId="55DD5124"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2.548E-02</w:t>
            </w:r>
          </w:p>
        </w:tc>
        <w:tc>
          <w:tcPr>
            <w:tcW w:w="529" w:type="pct"/>
            <w:tcBorders>
              <w:top w:val="nil"/>
              <w:left w:val="nil"/>
              <w:bottom w:val="nil"/>
              <w:right w:val="nil"/>
            </w:tcBorders>
            <w:hideMark/>
          </w:tcPr>
          <w:p w14:paraId="267EA5DA"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1.511E-03</w:t>
            </w:r>
          </w:p>
        </w:tc>
        <w:tc>
          <w:tcPr>
            <w:tcW w:w="528" w:type="pct"/>
            <w:tcBorders>
              <w:top w:val="nil"/>
              <w:left w:val="nil"/>
              <w:bottom w:val="nil"/>
              <w:right w:val="nil"/>
            </w:tcBorders>
            <w:hideMark/>
          </w:tcPr>
          <w:p w14:paraId="63AD5284"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1.793E-03</w:t>
            </w:r>
          </w:p>
        </w:tc>
        <w:tc>
          <w:tcPr>
            <w:tcW w:w="625" w:type="pct"/>
            <w:tcBorders>
              <w:top w:val="nil"/>
              <w:left w:val="nil"/>
              <w:bottom w:val="nil"/>
              <w:right w:val="nil"/>
            </w:tcBorders>
            <w:hideMark/>
          </w:tcPr>
          <w:p w14:paraId="0B43863F"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2.323E-04</w:t>
            </w:r>
          </w:p>
        </w:tc>
        <w:tc>
          <w:tcPr>
            <w:tcW w:w="722" w:type="pct"/>
            <w:tcBorders>
              <w:top w:val="nil"/>
              <w:left w:val="nil"/>
              <w:bottom w:val="nil"/>
              <w:right w:val="nil"/>
            </w:tcBorders>
            <w:hideMark/>
          </w:tcPr>
          <w:p w14:paraId="3881CEC4"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2.540E-01</w:t>
            </w:r>
          </w:p>
        </w:tc>
      </w:tr>
      <w:tr w:rsidR="003C05E7" w:rsidRPr="002E79FB" w14:paraId="512E1FEB" w14:textId="77777777" w:rsidTr="002E79FB">
        <w:trPr>
          <w:trHeight w:val="230"/>
        </w:trPr>
        <w:tc>
          <w:tcPr>
            <w:tcW w:w="434" w:type="pct"/>
            <w:tcBorders>
              <w:top w:val="nil"/>
              <w:left w:val="nil"/>
              <w:bottom w:val="nil"/>
              <w:right w:val="nil"/>
            </w:tcBorders>
            <w:hideMark/>
          </w:tcPr>
          <w:p w14:paraId="23408625"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²³²Th</w:t>
            </w:r>
          </w:p>
        </w:tc>
        <w:tc>
          <w:tcPr>
            <w:tcW w:w="528" w:type="pct"/>
            <w:tcBorders>
              <w:top w:val="nil"/>
              <w:left w:val="nil"/>
              <w:bottom w:val="nil"/>
              <w:right w:val="nil"/>
            </w:tcBorders>
            <w:hideMark/>
          </w:tcPr>
          <w:p w14:paraId="7D66F5AE"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4.400E-03</w:t>
            </w:r>
          </w:p>
        </w:tc>
        <w:tc>
          <w:tcPr>
            <w:tcW w:w="543" w:type="pct"/>
            <w:tcBorders>
              <w:top w:val="nil"/>
              <w:left w:val="nil"/>
              <w:bottom w:val="nil"/>
              <w:right w:val="nil"/>
            </w:tcBorders>
            <w:hideMark/>
          </w:tcPr>
          <w:p w14:paraId="71EC15E9"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4.210E-04</w:t>
            </w:r>
          </w:p>
        </w:tc>
        <w:tc>
          <w:tcPr>
            <w:tcW w:w="562" w:type="pct"/>
            <w:tcBorders>
              <w:top w:val="nil"/>
              <w:left w:val="nil"/>
              <w:bottom w:val="nil"/>
              <w:right w:val="nil"/>
            </w:tcBorders>
            <w:hideMark/>
          </w:tcPr>
          <w:p w14:paraId="091175AC"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5.731E-05</w:t>
            </w:r>
          </w:p>
        </w:tc>
        <w:tc>
          <w:tcPr>
            <w:tcW w:w="529" w:type="pct"/>
            <w:tcBorders>
              <w:top w:val="nil"/>
              <w:left w:val="nil"/>
              <w:bottom w:val="nil"/>
              <w:right w:val="nil"/>
            </w:tcBorders>
            <w:hideMark/>
          </w:tcPr>
          <w:p w14:paraId="7DDBFBDB"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1.161E-02</w:t>
            </w:r>
          </w:p>
        </w:tc>
        <w:tc>
          <w:tcPr>
            <w:tcW w:w="529" w:type="pct"/>
            <w:tcBorders>
              <w:top w:val="nil"/>
              <w:left w:val="nil"/>
              <w:bottom w:val="nil"/>
              <w:right w:val="nil"/>
            </w:tcBorders>
            <w:hideMark/>
          </w:tcPr>
          <w:p w14:paraId="7B59FF7C"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5.189E-04</w:t>
            </w:r>
          </w:p>
        </w:tc>
        <w:tc>
          <w:tcPr>
            <w:tcW w:w="528" w:type="pct"/>
            <w:tcBorders>
              <w:top w:val="nil"/>
              <w:left w:val="nil"/>
              <w:bottom w:val="nil"/>
              <w:right w:val="nil"/>
            </w:tcBorders>
            <w:hideMark/>
          </w:tcPr>
          <w:p w14:paraId="46AB2CDC"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6.331E-04</w:t>
            </w:r>
          </w:p>
        </w:tc>
        <w:tc>
          <w:tcPr>
            <w:tcW w:w="625" w:type="pct"/>
            <w:tcBorders>
              <w:top w:val="nil"/>
              <w:left w:val="nil"/>
              <w:bottom w:val="nil"/>
              <w:right w:val="nil"/>
            </w:tcBorders>
            <w:hideMark/>
          </w:tcPr>
          <w:p w14:paraId="2FE4D4A8"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6.147E-04</w:t>
            </w:r>
          </w:p>
        </w:tc>
        <w:tc>
          <w:tcPr>
            <w:tcW w:w="722" w:type="pct"/>
            <w:tcBorders>
              <w:top w:val="nil"/>
              <w:left w:val="nil"/>
              <w:bottom w:val="nil"/>
              <w:right w:val="nil"/>
            </w:tcBorders>
            <w:hideMark/>
          </w:tcPr>
          <w:p w14:paraId="78BEF79C"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1.826E-02</w:t>
            </w:r>
          </w:p>
        </w:tc>
      </w:tr>
      <w:tr w:rsidR="003C05E7" w:rsidRPr="002E79FB" w14:paraId="02B2EC86" w14:textId="77777777" w:rsidTr="002E79FB">
        <w:trPr>
          <w:trHeight w:val="230"/>
        </w:trPr>
        <w:tc>
          <w:tcPr>
            <w:tcW w:w="434" w:type="pct"/>
            <w:tcBorders>
              <w:top w:val="nil"/>
              <w:left w:val="nil"/>
              <w:bottom w:val="single" w:sz="4" w:space="0" w:color="000000" w:themeColor="text1"/>
              <w:right w:val="nil"/>
            </w:tcBorders>
            <w:hideMark/>
          </w:tcPr>
          <w:p w14:paraId="718B6B23"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Total</w:t>
            </w:r>
          </w:p>
        </w:tc>
        <w:tc>
          <w:tcPr>
            <w:tcW w:w="528" w:type="pct"/>
            <w:tcBorders>
              <w:top w:val="nil"/>
              <w:left w:val="nil"/>
              <w:bottom w:val="single" w:sz="4" w:space="0" w:color="000000" w:themeColor="text1"/>
              <w:right w:val="nil"/>
            </w:tcBorders>
            <w:hideMark/>
          </w:tcPr>
          <w:p w14:paraId="0C9A05B8"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2.009E-01</w:t>
            </w:r>
          </w:p>
        </w:tc>
        <w:tc>
          <w:tcPr>
            <w:tcW w:w="543" w:type="pct"/>
            <w:tcBorders>
              <w:top w:val="nil"/>
              <w:left w:val="nil"/>
              <w:bottom w:val="single" w:sz="4" w:space="0" w:color="000000" w:themeColor="text1"/>
              <w:right w:val="nil"/>
            </w:tcBorders>
            <w:hideMark/>
          </w:tcPr>
          <w:p w14:paraId="0BDA1BD2"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4.371E-04</w:t>
            </w:r>
          </w:p>
        </w:tc>
        <w:tc>
          <w:tcPr>
            <w:tcW w:w="562" w:type="pct"/>
            <w:tcBorders>
              <w:top w:val="nil"/>
              <w:left w:val="nil"/>
              <w:bottom w:val="single" w:sz="4" w:space="0" w:color="000000" w:themeColor="text1"/>
              <w:right w:val="nil"/>
            </w:tcBorders>
            <w:hideMark/>
          </w:tcPr>
          <w:p w14:paraId="4969EEB3"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1.917E-01</w:t>
            </w:r>
          </w:p>
        </w:tc>
        <w:tc>
          <w:tcPr>
            <w:tcW w:w="529" w:type="pct"/>
            <w:tcBorders>
              <w:top w:val="nil"/>
              <w:left w:val="nil"/>
              <w:bottom w:val="single" w:sz="4" w:space="0" w:color="000000" w:themeColor="text1"/>
              <w:right w:val="nil"/>
            </w:tcBorders>
            <w:hideMark/>
          </w:tcPr>
          <w:p w14:paraId="7FF737B1"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1.863E-01</w:t>
            </w:r>
          </w:p>
        </w:tc>
        <w:tc>
          <w:tcPr>
            <w:tcW w:w="529" w:type="pct"/>
            <w:tcBorders>
              <w:top w:val="nil"/>
              <w:left w:val="nil"/>
              <w:bottom w:val="single" w:sz="4" w:space="0" w:color="000000" w:themeColor="text1"/>
              <w:right w:val="nil"/>
            </w:tcBorders>
            <w:hideMark/>
          </w:tcPr>
          <w:p w14:paraId="4A208C5E"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1.526E-01</w:t>
            </w:r>
          </w:p>
        </w:tc>
        <w:tc>
          <w:tcPr>
            <w:tcW w:w="528" w:type="pct"/>
            <w:tcBorders>
              <w:top w:val="nil"/>
              <w:left w:val="nil"/>
              <w:bottom w:val="single" w:sz="4" w:space="0" w:color="000000" w:themeColor="text1"/>
              <w:right w:val="nil"/>
            </w:tcBorders>
            <w:hideMark/>
          </w:tcPr>
          <w:p w14:paraId="5DB5D0C8"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6.504E-02</w:t>
            </w:r>
          </w:p>
        </w:tc>
        <w:tc>
          <w:tcPr>
            <w:tcW w:w="625" w:type="pct"/>
            <w:tcBorders>
              <w:top w:val="nil"/>
              <w:left w:val="nil"/>
              <w:bottom w:val="single" w:sz="4" w:space="0" w:color="000000" w:themeColor="text1"/>
              <w:right w:val="nil"/>
            </w:tcBorders>
            <w:hideMark/>
          </w:tcPr>
          <w:p w14:paraId="2317724F"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1.016E-03</w:t>
            </w:r>
          </w:p>
        </w:tc>
        <w:tc>
          <w:tcPr>
            <w:tcW w:w="722" w:type="pct"/>
            <w:tcBorders>
              <w:top w:val="nil"/>
              <w:left w:val="nil"/>
              <w:bottom w:val="single" w:sz="4" w:space="0" w:color="000000" w:themeColor="text1"/>
              <w:right w:val="nil"/>
            </w:tcBorders>
            <w:hideMark/>
          </w:tcPr>
          <w:p w14:paraId="5588F885"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7.878E-01</w:t>
            </w:r>
          </w:p>
        </w:tc>
      </w:tr>
    </w:tbl>
    <w:p w14:paraId="25287ADE" w14:textId="1F01660B" w:rsidR="003C05E7" w:rsidRPr="003C05E7" w:rsidRDefault="003C05E7" w:rsidP="00DE76B3">
      <w:pPr>
        <w:spacing w:after="0" w:line="240" w:lineRule="auto"/>
        <w:jc w:val="both"/>
        <w:rPr>
          <w:rFonts w:ascii="Times New Roman" w:eastAsia="Times New Roman" w:hAnsi="Times New Roman" w:cs="Times New Roman"/>
          <w:sz w:val="20"/>
          <w:szCs w:val="20"/>
          <w:lang w:val="zh-CN" w:eastAsia="zh-CN"/>
        </w:rPr>
      </w:pPr>
      <w:r w:rsidRPr="003C05E7">
        <w:rPr>
          <w:rFonts w:ascii="Times New Roman" w:hAnsi="Times New Roman" w:cs="Times New Roman"/>
          <w:i/>
          <w:iCs/>
          <w:sz w:val="20"/>
          <w:szCs w:val="20"/>
        </w:rPr>
        <w:t>Note</w:t>
      </w:r>
      <w:r w:rsidR="00820066">
        <w:rPr>
          <w:rFonts w:ascii="Times New Roman" w:hAnsi="Times New Roman" w:cs="Times New Roman"/>
          <w:i/>
          <w:iCs/>
          <w:sz w:val="20"/>
          <w:szCs w:val="20"/>
        </w:rPr>
        <w:t>:</w:t>
      </w:r>
      <w:r w:rsidRPr="003C05E7">
        <w:rPr>
          <w:rFonts w:ascii="Times New Roman" w:hAnsi="Times New Roman" w:cs="Times New Roman"/>
          <w:i/>
          <w:iCs/>
          <w:sz w:val="20"/>
          <w:szCs w:val="20"/>
        </w:rPr>
        <w:t xml:space="preserve"> Inhalation </w:t>
      </w:r>
      <w:r w:rsidR="00DE76B3" w:rsidRPr="003C05E7">
        <w:rPr>
          <w:rFonts w:ascii="Times New Roman" w:hAnsi="Times New Roman" w:cs="Times New Roman"/>
          <w:i/>
          <w:iCs/>
          <w:sz w:val="20"/>
          <w:szCs w:val="20"/>
        </w:rPr>
        <w:t xml:space="preserve">Excludes Radon. </w:t>
      </w:r>
      <w:r w:rsidRPr="003C05E7">
        <w:rPr>
          <w:rFonts w:ascii="Times New Roman" w:hAnsi="Times New Roman" w:cs="Times New Roman"/>
          <w:i/>
          <w:iCs/>
          <w:sz w:val="20"/>
          <w:szCs w:val="20"/>
        </w:rPr>
        <w:t>Water-</w:t>
      </w:r>
      <w:r w:rsidR="00DE76B3" w:rsidRPr="003C05E7">
        <w:rPr>
          <w:rFonts w:ascii="Times New Roman" w:hAnsi="Times New Roman" w:cs="Times New Roman"/>
          <w:i/>
          <w:iCs/>
          <w:sz w:val="20"/>
          <w:szCs w:val="20"/>
        </w:rPr>
        <w:t xml:space="preserve">Dependent Pathway Contributions </w:t>
      </w:r>
      <w:r w:rsidRPr="003C05E7">
        <w:rPr>
          <w:rFonts w:ascii="Times New Roman" w:hAnsi="Times New Roman" w:cs="Times New Roman"/>
          <w:i/>
          <w:iCs/>
          <w:sz w:val="20"/>
          <w:szCs w:val="20"/>
        </w:rPr>
        <w:t xml:space="preserve">were </w:t>
      </w:r>
      <w:r w:rsidR="00DE76B3" w:rsidRPr="003C05E7">
        <w:rPr>
          <w:rFonts w:ascii="Times New Roman" w:hAnsi="Times New Roman" w:cs="Times New Roman"/>
          <w:i/>
          <w:iCs/>
          <w:sz w:val="20"/>
          <w:szCs w:val="20"/>
        </w:rPr>
        <w:t xml:space="preserve">Zero </w:t>
      </w:r>
      <w:r w:rsidRPr="003C05E7">
        <w:rPr>
          <w:rFonts w:ascii="Times New Roman" w:hAnsi="Times New Roman" w:cs="Times New Roman"/>
          <w:i/>
          <w:iCs/>
          <w:sz w:val="20"/>
          <w:szCs w:val="20"/>
        </w:rPr>
        <w:t xml:space="preserve">for all </w:t>
      </w:r>
      <w:r w:rsidR="00DE76B3" w:rsidRPr="003C05E7">
        <w:rPr>
          <w:rFonts w:ascii="Times New Roman" w:hAnsi="Times New Roman" w:cs="Times New Roman"/>
          <w:i/>
          <w:iCs/>
          <w:sz w:val="20"/>
          <w:szCs w:val="20"/>
        </w:rPr>
        <w:t xml:space="preserve">Nuclides </w:t>
      </w:r>
      <w:r w:rsidRPr="003C05E7">
        <w:rPr>
          <w:rFonts w:ascii="Times New Roman" w:hAnsi="Times New Roman" w:cs="Times New Roman"/>
          <w:i/>
          <w:iCs/>
          <w:sz w:val="20"/>
          <w:szCs w:val="20"/>
        </w:rPr>
        <w:t xml:space="preserve">at t = 0. All </w:t>
      </w:r>
      <w:r w:rsidR="00DE76B3" w:rsidRPr="003C05E7">
        <w:rPr>
          <w:rFonts w:ascii="Times New Roman" w:hAnsi="Times New Roman" w:cs="Times New Roman"/>
          <w:i/>
          <w:iCs/>
          <w:sz w:val="20"/>
          <w:szCs w:val="20"/>
        </w:rPr>
        <w:t xml:space="preserve">Values </w:t>
      </w:r>
      <w:r w:rsidRPr="003C05E7">
        <w:rPr>
          <w:rFonts w:ascii="Times New Roman" w:hAnsi="Times New Roman" w:cs="Times New Roman"/>
          <w:i/>
          <w:iCs/>
          <w:sz w:val="20"/>
          <w:szCs w:val="20"/>
        </w:rPr>
        <w:t>in mSv yr</w:t>
      </w:r>
      <w:r w:rsidRPr="003C05E7">
        <w:rPr>
          <w:rFonts w:ascii="Times New Roman" w:eastAsia="MS Gothic" w:hAnsi="Times New Roman" w:cs="Times New Roman"/>
          <w:i/>
          <w:iCs/>
          <w:sz w:val="20"/>
          <w:szCs w:val="20"/>
        </w:rPr>
        <w:t>⁻</w:t>
      </w:r>
      <w:r w:rsidRPr="003C05E7">
        <w:rPr>
          <w:rFonts w:ascii="Times New Roman" w:hAnsi="Times New Roman" w:cs="Times New Roman"/>
          <w:i/>
          <w:iCs/>
          <w:sz w:val="20"/>
          <w:szCs w:val="20"/>
        </w:rPr>
        <w:t xml:space="preserve">¹. From RESRAD-Onsite 7.2 </w:t>
      </w:r>
      <w:r w:rsidR="00DE76B3" w:rsidRPr="003C05E7">
        <w:rPr>
          <w:rFonts w:ascii="Times New Roman" w:hAnsi="Times New Roman" w:cs="Times New Roman"/>
          <w:i/>
          <w:iCs/>
          <w:sz w:val="20"/>
          <w:szCs w:val="20"/>
        </w:rPr>
        <w:t xml:space="preserve">Output File </w:t>
      </w:r>
      <w:r w:rsidRPr="003C05E7">
        <w:rPr>
          <w:rFonts w:ascii="Times New Roman" w:hAnsi="Times New Roman" w:cs="Times New Roman"/>
          <w:i/>
          <w:iCs/>
          <w:sz w:val="20"/>
          <w:szCs w:val="20"/>
        </w:rPr>
        <w:t>SITE4.RAD</w:t>
      </w:r>
    </w:p>
    <w:p w14:paraId="73443475" w14:textId="77777777" w:rsidR="006841F5" w:rsidRDefault="006841F5" w:rsidP="003C05E7">
      <w:pPr>
        <w:spacing w:after="0" w:line="240" w:lineRule="auto"/>
        <w:rPr>
          <w:rFonts w:ascii="Times New Roman" w:hAnsi="Times New Roman" w:cs="Times New Roman"/>
          <w:b/>
          <w:bCs/>
          <w:sz w:val="20"/>
          <w:szCs w:val="20"/>
        </w:rPr>
      </w:pPr>
    </w:p>
    <w:p w14:paraId="010789F2" w14:textId="5DED4A31" w:rsidR="00E82B09" w:rsidRDefault="00E82B09" w:rsidP="003C05E7">
      <w:pPr>
        <w:spacing w:after="0" w:line="240" w:lineRule="auto"/>
        <w:rPr>
          <w:rFonts w:ascii="Times New Roman" w:hAnsi="Times New Roman" w:cs="Times New Roman"/>
          <w:b/>
          <w:bCs/>
          <w:sz w:val="20"/>
          <w:szCs w:val="20"/>
        </w:rPr>
        <w:sectPr w:rsidR="00E82B09" w:rsidSect="002A637C">
          <w:type w:val="continuous"/>
          <w:pgSz w:w="12242" w:h="15842" w:code="1"/>
          <w:pgMar w:top="1440" w:right="1440" w:bottom="1440" w:left="1440" w:header="709" w:footer="709" w:gutter="0"/>
          <w:cols w:space="284"/>
          <w:docGrid w:linePitch="360"/>
        </w:sectPr>
      </w:pPr>
    </w:p>
    <w:p w14:paraId="63F2A4D7" w14:textId="216028BC" w:rsidR="003C05E7" w:rsidRPr="006841F5" w:rsidRDefault="003C05E7" w:rsidP="00E6189F">
      <w:pPr>
        <w:spacing w:after="0" w:line="240" w:lineRule="auto"/>
        <w:jc w:val="both"/>
        <w:rPr>
          <w:rFonts w:ascii="Times New Roman" w:eastAsia="Times New Roman" w:hAnsi="Times New Roman" w:cs="Times New Roman"/>
          <w:sz w:val="20"/>
          <w:szCs w:val="20"/>
        </w:rPr>
      </w:pPr>
      <w:r w:rsidRPr="006841F5">
        <w:rPr>
          <w:rFonts w:ascii="Times New Roman" w:hAnsi="Times New Roman" w:cs="Times New Roman"/>
          <w:b/>
          <w:bCs/>
          <w:sz w:val="20"/>
          <w:szCs w:val="20"/>
        </w:rPr>
        <w:lastRenderedPageBreak/>
        <w:t>Maximum Total Dose and Time-Dependent Dose Evolution</w:t>
      </w:r>
    </w:p>
    <w:p w14:paraId="6EAAAF88" w14:textId="77777777" w:rsidR="003C05E7" w:rsidRPr="003C05E7" w:rsidRDefault="003C05E7" w:rsidP="00E6189F">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The temporal evolution of total radiological dose over the 1000-year simulation horizon is presented in Table 5 and illustrated in Figure 2. The maximum total dose (t-max-D) was 1.156E+00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occurring at t = 37.65 ± 0.08 years — exceeding the BRDL of 1.000E+00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and confirming that the site poses an unacceptable long-term radiological risk under current unmitigated conditions. Nuclide and pathway contributions at t-max-D are detailed in Table 5.</w:t>
      </w:r>
    </w:p>
    <w:p w14:paraId="5468D37A" w14:textId="77777777" w:rsidR="006841F5" w:rsidRDefault="003C05E7" w:rsidP="00E6189F">
      <w:pPr>
        <w:spacing w:after="0" w:line="240" w:lineRule="auto"/>
        <w:jc w:val="both"/>
        <w:rPr>
          <w:rFonts w:ascii="Times New Roman" w:hAnsi="Times New Roman" w:cs="Times New Roman"/>
          <w:sz w:val="20"/>
          <w:szCs w:val="20"/>
        </w:rPr>
        <w:sectPr w:rsidR="006841F5" w:rsidSect="006841F5">
          <w:type w:val="continuous"/>
          <w:pgSz w:w="12242" w:h="15842" w:code="1"/>
          <w:pgMar w:top="1440" w:right="1440" w:bottom="1440" w:left="1440" w:header="709" w:footer="709" w:gutter="0"/>
          <w:cols w:num="2" w:space="288"/>
          <w:docGrid w:linePitch="360"/>
        </w:sectPr>
      </w:pPr>
      <w:r w:rsidRPr="003C05E7">
        <w:rPr>
          <w:rFonts w:ascii="Times New Roman" w:hAnsi="Times New Roman" w:cs="Times New Roman"/>
          <w:sz w:val="20"/>
          <w:szCs w:val="20"/>
        </w:rPr>
        <w:t xml:space="preserve">At t = 37.65 years,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K remained the dominant contributor (4.830E-01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41.79%), while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Th increased substantially from 1.826E-02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(2.32%) at t = 0 to 3.913E-01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(33.85%) at t-max-D. This </w:t>
      </w:r>
      <w:r w:rsidRPr="003C05E7">
        <w:rPr>
          <w:rFonts w:ascii="Times New Roman" w:hAnsi="Times New Roman" w:cs="Times New Roman"/>
          <w:sz w:val="20"/>
          <w:szCs w:val="20"/>
        </w:rPr>
        <w:t xml:space="preserve">dramatic rise in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dose is attributable to the ingrowth of its decay chain progeny, principally </w:t>
      </w:r>
      <w:r w:rsidRPr="003C05E7">
        <w:rPr>
          <w:rFonts w:ascii="Times New Roman" w:hAnsi="Times New Roman" w:cs="Times New Roman"/>
          <w:sz w:val="20"/>
          <w:szCs w:val="20"/>
          <w:vertAlign w:val="superscript"/>
        </w:rPr>
        <w:t>228</w:t>
      </w:r>
      <w:r w:rsidRPr="003C05E7">
        <w:rPr>
          <w:rFonts w:ascii="Times New Roman" w:hAnsi="Times New Roman" w:cs="Times New Roman"/>
          <w:sz w:val="20"/>
          <w:szCs w:val="20"/>
        </w:rPr>
        <w:t xml:space="preserve">Ra, </w:t>
      </w:r>
      <w:r w:rsidRPr="003C05E7">
        <w:rPr>
          <w:rFonts w:ascii="Times New Roman" w:hAnsi="Times New Roman" w:cs="Times New Roman"/>
          <w:sz w:val="20"/>
          <w:szCs w:val="20"/>
          <w:vertAlign w:val="superscript"/>
        </w:rPr>
        <w:t>228</w:t>
      </w:r>
      <w:r w:rsidRPr="003C05E7">
        <w:rPr>
          <w:rFonts w:ascii="Times New Roman" w:hAnsi="Times New Roman" w:cs="Times New Roman"/>
          <w:sz w:val="20"/>
          <w:szCs w:val="20"/>
        </w:rPr>
        <w:t xml:space="preserve">Th, and </w:t>
      </w:r>
      <w:r w:rsidRPr="003C05E7">
        <w:rPr>
          <w:rFonts w:ascii="Times New Roman" w:hAnsi="Times New Roman" w:cs="Times New Roman"/>
          <w:sz w:val="20"/>
          <w:szCs w:val="20"/>
          <w:vertAlign w:val="superscript"/>
        </w:rPr>
        <w:t>228</w:t>
      </w:r>
      <w:r w:rsidRPr="003C05E7">
        <w:rPr>
          <w:rFonts w:ascii="Times New Roman" w:hAnsi="Times New Roman" w:cs="Times New Roman"/>
          <w:sz w:val="20"/>
          <w:szCs w:val="20"/>
        </w:rPr>
        <w:t xml:space="preserve">Ac, which accumulate over time and contribute significantly through ground irradiation and plant ingestion pathways (Muhammad et al., 2024; Yu et al., 2001a).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Ra contributed 2.815E-01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(24.35%) at t-max-D. These dynamics underscore the importance of long-term simulation rather than merely reporting the t = 0 value, as dose increases substantially over decadal timescales before declining as radionuclides are depleted through decay, erosion, and leaching. The contributions of individual exposure pathways to the total dose over the full simulation horizon are illustrated in Figure 3, which shows that external gamma, plant ingestion, and radon dominate throughout.</w:t>
      </w:r>
    </w:p>
    <w:p w14:paraId="251CF609" w14:textId="1943ADA2"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15CB6306" w14:textId="77777777" w:rsidR="003C05E7" w:rsidRPr="003C05E7" w:rsidRDefault="003C05E7" w:rsidP="00E6189F">
      <w:pPr>
        <w:spacing w:after="0" w:line="240" w:lineRule="auto"/>
        <w:jc w:val="both"/>
        <w:rPr>
          <w:rFonts w:ascii="Times New Roman" w:eastAsia="Times New Roman" w:hAnsi="Times New Roman" w:cs="Times New Roman"/>
          <w:sz w:val="20"/>
          <w:szCs w:val="20"/>
        </w:rPr>
      </w:pPr>
      <w:r w:rsidRPr="003C05E7">
        <w:rPr>
          <w:rFonts w:ascii="Times New Roman" w:hAnsi="Times New Roman" w:cs="Times New Roman"/>
          <w:b/>
          <w:bCs/>
          <w:sz w:val="20"/>
          <w:szCs w:val="20"/>
        </w:rPr>
        <w:t xml:space="preserve">Table 5: Total Dose Contributions </w:t>
      </w:r>
      <w:proofErr w:type="spellStart"/>
      <w:r w:rsidRPr="003C05E7">
        <w:rPr>
          <w:rFonts w:ascii="Times New Roman" w:hAnsi="Times New Roman" w:cs="Times New Roman"/>
          <w:b/>
          <w:bCs/>
          <w:sz w:val="20"/>
          <w:szCs w:val="20"/>
        </w:rPr>
        <w:t>TDOSE</w:t>
      </w:r>
      <w:proofErr w:type="spellEnd"/>
      <w:r w:rsidRPr="003C05E7">
        <w:rPr>
          <w:rFonts w:ascii="Times New Roman" w:hAnsi="Times New Roman" w:cs="Times New Roman"/>
          <w:b/>
          <w:bCs/>
          <w:sz w:val="20"/>
          <w:szCs w:val="20"/>
        </w:rPr>
        <w:t>(</w:t>
      </w:r>
      <w:proofErr w:type="spellStart"/>
      <w:proofErr w:type="gramStart"/>
      <w:r w:rsidRPr="003C05E7">
        <w:rPr>
          <w:rFonts w:ascii="Times New Roman" w:hAnsi="Times New Roman" w:cs="Times New Roman"/>
          <w:b/>
          <w:bCs/>
          <w:sz w:val="20"/>
          <w:szCs w:val="20"/>
        </w:rPr>
        <w:t>i,p</w:t>
      </w:r>
      <w:proofErr w:type="gramEnd"/>
      <w:r w:rsidRPr="003C05E7">
        <w:rPr>
          <w:rFonts w:ascii="Times New Roman" w:hAnsi="Times New Roman" w:cs="Times New Roman"/>
          <w:b/>
          <w:bCs/>
          <w:sz w:val="20"/>
          <w:szCs w:val="20"/>
        </w:rPr>
        <w:t>,t</w:t>
      </w:r>
      <w:proofErr w:type="spellEnd"/>
      <w:r w:rsidRPr="003C05E7">
        <w:rPr>
          <w:rFonts w:ascii="Times New Roman" w:hAnsi="Times New Roman" w:cs="Times New Roman"/>
          <w:b/>
          <w:bCs/>
          <w:sz w:val="20"/>
          <w:szCs w:val="20"/>
        </w:rPr>
        <w:t>) for Individual Radionuclides and Pathways at t-max-D = 37.65 Years (mSv yr</w:t>
      </w:r>
      <w:r w:rsidRPr="003C05E7">
        <w:rPr>
          <w:rFonts w:ascii="Times New Roman" w:eastAsia="MS Gothic" w:hAnsi="Times New Roman" w:cs="Times New Roman"/>
          <w:b/>
          <w:bCs/>
          <w:sz w:val="20"/>
          <w:szCs w:val="20"/>
        </w:rPr>
        <w:t>⁻</w:t>
      </w:r>
      <w:r w:rsidRPr="003C05E7">
        <w:rPr>
          <w:rFonts w:ascii="Times New Roman" w:hAnsi="Times New Roman" w:cs="Times New Roman"/>
          <w:b/>
          <w:bCs/>
          <w:sz w:val="20"/>
          <w:szCs w:val="20"/>
        </w:rPr>
        <w:t>¹)</w:t>
      </w:r>
    </w:p>
    <w:tbl>
      <w:tblPr>
        <w:tblStyle w:val="ListTable6Colorful"/>
        <w:tblW w:w="5000" w:type="pct"/>
        <w:tblLook w:val="0620" w:firstRow="1" w:lastRow="0" w:firstColumn="0" w:lastColumn="0" w:noHBand="1" w:noVBand="1"/>
      </w:tblPr>
      <w:tblGrid>
        <w:gridCol w:w="811"/>
        <w:gridCol w:w="989"/>
        <w:gridCol w:w="1080"/>
        <w:gridCol w:w="1013"/>
        <w:gridCol w:w="1058"/>
        <w:gridCol w:w="990"/>
        <w:gridCol w:w="989"/>
        <w:gridCol w:w="1080"/>
        <w:gridCol w:w="1352"/>
      </w:tblGrid>
      <w:tr w:rsidR="003C05E7" w:rsidRPr="002E79FB" w14:paraId="6CDEB8D0" w14:textId="77777777" w:rsidTr="002E79FB">
        <w:trPr>
          <w:cnfStyle w:val="100000000000" w:firstRow="1" w:lastRow="0" w:firstColumn="0" w:lastColumn="0" w:oddVBand="0" w:evenVBand="0" w:oddHBand="0" w:evenHBand="0" w:firstRowFirstColumn="0" w:firstRowLastColumn="0" w:lastRowFirstColumn="0" w:lastRowLastColumn="0"/>
          <w:trHeight w:val="230"/>
        </w:trPr>
        <w:tc>
          <w:tcPr>
            <w:tcW w:w="433" w:type="pct"/>
            <w:tcBorders>
              <w:top w:val="single" w:sz="4" w:space="0" w:color="000000" w:themeColor="text1"/>
              <w:left w:val="nil"/>
              <w:right w:val="nil"/>
            </w:tcBorders>
            <w:hideMark/>
          </w:tcPr>
          <w:p w14:paraId="36A2AA48"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Nuclide</w:t>
            </w:r>
          </w:p>
        </w:tc>
        <w:tc>
          <w:tcPr>
            <w:tcW w:w="528" w:type="pct"/>
            <w:tcBorders>
              <w:top w:val="single" w:sz="4" w:space="0" w:color="000000" w:themeColor="text1"/>
              <w:left w:val="nil"/>
              <w:right w:val="nil"/>
            </w:tcBorders>
            <w:hideMark/>
          </w:tcPr>
          <w:p w14:paraId="196B627A"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Ground</w:t>
            </w:r>
          </w:p>
        </w:tc>
        <w:tc>
          <w:tcPr>
            <w:tcW w:w="577" w:type="pct"/>
            <w:tcBorders>
              <w:top w:val="single" w:sz="4" w:space="0" w:color="000000" w:themeColor="text1"/>
              <w:left w:val="nil"/>
              <w:right w:val="nil"/>
            </w:tcBorders>
            <w:hideMark/>
          </w:tcPr>
          <w:p w14:paraId="47AD9F63"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Inhalation</w:t>
            </w:r>
          </w:p>
        </w:tc>
        <w:tc>
          <w:tcPr>
            <w:tcW w:w="541" w:type="pct"/>
            <w:tcBorders>
              <w:top w:val="single" w:sz="4" w:space="0" w:color="000000" w:themeColor="text1"/>
              <w:left w:val="nil"/>
              <w:right w:val="nil"/>
            </w:tcBorders>
            <w:hideMark/>
          </w:tcPr>
          <w:p w14:paraId="6AC8743A"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Radon</w:t>
            </w:r>
          </w:p>
        </w:tc>
        <w:tc>
          <w:tcPr>
            <w:tcW w:w="565" w:type="pct"/>
            <w:tcBorders>
              <w:top w:val="single" w:sz="4" w:space="0" w:color="000000" w:themeColor="text1"/>
              <w:left w:val="nil"/>
              <w:right w:val="nil"/>
            </w:tcBorders>
            <w:hideMark/>
          </w:tcPr>
          <w:p w14:paraId="271FB80D"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Plant</w:t>
            </w:r>
          </w:p>
        </w:tc>
        <w:tc>
          <w:tcPr>
            <w:tcW w:w="529" w:type="pct"/>
            <w:tcBorders>
              <w:top w:val="single" w:sz="4" w:space="0" w:color="000000" w:themeColor="text1"/>
              <w:left w:val="nil"/>
              <w:right w:val="nil"/>
            </w:tcBorders>
            <w:hideMark/>
          </w:tcPr>
          <w:p w14:paraId="06E4A29E"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Meat</w:t>
            </w:r>
          </w:p>
        </w:tc>
        <w:tc>
          <w:tcPr>
            <w:tcW w:w="528" w:type="pct"/>
            <w:tcBorders>
              <w:top w:val="single" w:sz="4" w:space="0" w:color="000000" w:themeColor="text1"/>
              <w:left w:val="nil"/>
              <w:right w:val="nil"/>
            </w:tcBorders>
            <w:hideMark/>
          </w:tcPr>
          <w:p w14:paraId="0C3F3D5A"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Milk</w:t>
            </w:r>
          </w:p>
        </w:tc>
        <w:tc>
          <w:tcPr>
            <w:tcW w:w="577" w:type="pct"/>
            <w:tcBorders>
              <w:top w:val="single" w:sz="4" w:space="0" w:color="000000" w:themeColor="text1"/>
              <w:left w:val="nil"/>
              <w:right w:val="nil"/>
            </w:tcBorders>
            <w:hideMark/>
          </w:tcPr>
          <w:p w14:paraId="712150C7"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Soil</w:t>
            </w:r>
          </w:p>
        </w:tc>
        <w:tc>
          <w:tcPr>
            <w:tcW w:w="722" w:type="pct"/>
            <w:tcBorders>
              <w:top w:val="single" w:sz="4" w:space="0" w:color="000000" w:themeColor="text1"/>
              <w:left w:val="nil"/>
              <w:right w:val="nil"/>
            </w:tcBorders>
            <w:hideMark/>
          </w:tcPr>
          <w:p w14:paraId="2624CD25"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All Pathways</w:t>
            </w:r>
          </w:p>
        </w:tc>
      </w:tr>
      <w:tr w:rsidR="003C05E7" w:rsidRPr="002E79FB" w14:paraId="243AC2E5" w14:textId="77777777" w:rsidTr="002E79FB">
        <w:trPr>
          <w:trHeight w:val="230"/>
        </w:trPr>
        <w:tc>
          <w:tcPr>
            <w:tcW w:w="433" w:type="pct"/>
            <w:tcBorders>
              <w:top w:val="nil"/>
              <w:left w:val="nil"/>
              <w:bottom w:val="nil"/>
              <w:right w:val="nil"/>
            </w:tcBorders>
            <w:hideMark/>
          </w:tcPr>
          <w:p w14:paraId="3765027E"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⁴⁰K</w:t>
            </w:r>
          </w:p>
        </w:tc>
        <w:tc>
          <w:tcPr>
            <w:tcW w:w="528" w:type="pct"/>
            <w:tcBorders>
              <w:top w:val="nil"/>
              <w:left w:val="nil"/>
              <w:bottom w:val="nil"/>
              <w:right w:val="nil"/>
            </w:tcBorders>
            <w:hideMark/>
          </w:tcPr>
          <w:p w14:paraId="391D6A39"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1.432E-01</w:t>
            </w:r>
          </w:p>
        </w:tc>
        <w:tc>
          <w:tcPr>
            <w:tcW w:w="577" w:type="pct"/>
            <w:tcBorders>
              <w:top w:val="nil"/>
              <w:left w:val="nil"/>
              <w:bottom w:val="nil"/>
              <w:right w:val="nil"/>
            </w:tcBorders>
            <w:hideMark/>
          </w:tcPr>
          <w:p w14:paraId="3880ED5E"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3.660E-06</w:t>
            </w:r>
          </w:p>
        </w:tc>
        <w:tc>
          <w:tcPr>
            <w:tcW w:w="541" w:type="pct"/>
            <w:tcBorders>
              <w:top w:val="nil"/>
              <w:left w:val="nil"/>
              <w:bottom w:val="nil"/>
              <w:right w:val="nil"/>
            </w:tcBorders>
            <w:hideMark/>
          </w:tcPr>
          <w:p w14:paraId="451EEEC3"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0.000E+00</w:t>
            </w:r>
          </w:p>
        </w:tc>
        <w:tc>
          <w:tcPr>
            <w:tcW w:w="565" w:type="pct"/>
            <w:tcBorders>
              <w:top w:val="nil"/>
              <w:left w:val="nil"/>
              <w:bottom w:val="nil"/>
              <w:right w:val="nil"/>
            </w:tcBorders>
            <w:hideMark/>
          </w:tcPr>
          <w:p w14:paraId="4EBA90D8"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1.398E-01</w:t>
            </w:r>
          </w:p>
        </w:tc>
        <w:tc>
          <w:tcPr>
            <w:tcW w:w="529" w:type="pct"/>
            <w:tcBorders>
              <w:top w:val="nil"/>
              <w:left w:val="nil"/>
              <w:bottom w:val="nil"/>
              <w:right w:val="nil"/>
            </w:tcBorders>
            <w:hideMark/>
          </w:tcPr>
          <w:p w14:paraId="66539EC9"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1.411E-01</w:t>
            </w:r>
          </w:p>
        </w:tc>
        <w:tc>
          <w:tcPr>
            <w:tcW w:w="528" w:type="pct"/>
            <w:tcBorders>
              <w:top w:val="nil"/>
              <w:left w:val="nil"/>
              <w:bottom w:val="nil"/>
              <w:right w:val="nil"/>
            </w:tcBorders>
            <w:hideMark/>
          </w:tcPr>
          <w:p w14:paraId="30FF6993"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5.866E-02</w:t>
            </w:r>
          </w:p>
        </w:tc>
        <w:tc>
          <w:tcPr>
            <w:tcW w:w="577" w:type="pct"/>
            <w:tcBorders>
              <w:top w:val="nil"/>
              <w:left w:val="nil"/>
              <w:bottom w:val="nil"/>
              <w:right w:val="nil"/>
            </w:tcBorders>
            <w:hideMark/>
          </w:tcPr>
          <w:p w14:paraId="5181FD19"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1.586E-04</w:t>
            </w:r>
          </w:p>
        </w:tc>
        <w:tc>
          <w:tcPr>
            <w:tcW w:w="722" w:type="pct"/>
            <w:tcBorders>
              <w:top w:val="nil"/>
              <w:left w:val="nil"/>
              <w:bottom w:val="nil"/>
              <w:right w:val="nil"/>
            </w:tcBorders>
            <w:hideMark/>
          </w:tcPr>
          <w:p w14:paraId="02D799FA"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4.830E-01</w:t>
            </w:r>
          </w:p>
        </w:tc>
      </w:tr>
      <w:tr w:rsidR="003C05E7" w:rsidRPr="002E79FB" w14:paraId="7679293C" w14:textId="77777777" w:rsidTr="002E79FB">
        <w:trPr>
          <w:trHeight w:val="230"/>
        </w:trPr>
        <w:tc>
          <w:tcPr>
            <w:tcW w:w="433" w:type="pct"/>
            <w:tcBorders>
              <w:top w:val="nil"/>
              <w:left w:val="nil"/>
              <w:bottom w:val="nil"/>
              <w:right w:val="nil"/>
            </w:tcBorders>
            <w:hideMark/>
          </w:tcPr>
          <w:p w14:paraId="7D539213"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²²</w:t>
            </w:r>
            <w:r w:rsidRPr="002E79FB">
              <w:rPr>
                <w:rFonts w:ascii="Times New Roman" w:eastAsia="MS Gothic" w:hAnsi="Times New Roman" w:cs="Times New Roman"/>
                <w:color w:val="000000"/>
                <w:sz w:val="18"/>
                <w:szCs w:val="18"/>
              </w:rPr>
              <w:t>⁶</w:t>
            </w:r>
            <w:r w:rsidRPr="002E79FB">
              <w:rPr>
                <w:rFonts w:ascii="Times New Roman" w:hAnsi="Times New Roman" w:cs="Times New Roman"/>
                <w:color w:val="000000"/>
                <w:sz w:val="18"/>
                <w:szCs w:val="18"/>
              </w:rPr>
              <w:t>Ra</w:t>
            </w:r>
          </w:p>
        </w:tc>
        <w:tc>
          <w:tcPr>
            <w:tcW w:w="528" w:type="pct"/>
            <w:tcBorders>
              <w:top w:val="nil"/>
              <w:left w:val="nil"/>
              <w:bottom w:val="nil"/>
              <w:right w:val="nil"/>
            </w:tcBorders>
            <w:hideMark/>
          </w:tcPr>
          <w:p w14:paraId="0A17CD4E"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4.292E-02</w:t>
            </w:r>
          </w:p>
        </w:tc>
        <w:tc>
          <w:tcPr>
            <w:tcW w:w="577" w:type="pct"/>
            <w:tcBorders>
              <w:top w:val="nil"/>
              <w:left w:val="nil"/>
              <w:bottom w:val="nil"/>
              <w:right w:val="nil"/>
            </w:tcBorders>
            <w:hideMark/>
          </w:tcPr>
          <w:p w14:paraId="4E2BDA1D"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2.036E-05</w:t>
            </w:r>
          </w:p>
        </w:tc>
        <w:tc>
          <w:tcPr>
            <w:tcW w:w="541" w:type="pct"/>
            <w:tcBorders>
              <w:top w:val="nil"/>
              <w:left w:val="nil"/>
              <w:bottom w:val="nil"/>
              <w:right w:val="nil"/>
            </w:tcBorders>
            <w:hideMark/>
          </w:tcPr>
          <w:p w14:paraId="035B6DE5"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1.783E-01</w:t>
            </w:r>
          </w:p>
        </w:tc>
        <w:tc>
          <w:tcPr>
            <w:tcW w:w="565" w:type="pct"/>
            <w:tcBorders>
              <w:top w:val="nil"/>
              <w:left w:val="nil"/>
              <w:bottom w:val="nil"/>
              <w:right w:val="nil"/>
            </w:tcBorders>
            <w:hideMark/>
          </w:tcPr>
          <w:p w14:paraId="6593981F"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5.301E-02</w:t>
            </w:r>
          </w:p>
        </w:tc>
        <w:tc>
          <w:tcPr>
            <w:tcW w:w="529" w:type="pct"/>
            <w:tcBorders>
              <w:top w:val="nil"/>
              <w:left w:val="nil"/>
              <w:bottom w:val="nil"/>
              <w:right w:val="nil"/>
            </w:tcBorders>
            <w:hideMark/>
          </w:tcPr>
          <w:p w14:paraId="6A3FC45C"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3.400E-03</w:t>
            </w:r>
          </w:p>
        </w:tc>
        <w:tc>
          <w:tcPr>
            <w:tcW w:w="528" w:type="pct"/>
            <w:tcBorders>
              <w:top w:val="nil"/>
              <w:left w:val="nil"/>
              <w:bottom w:val="nil"/>
              <w:right w:val="nil"/>
            </w:tcBorders>
            <w:hideMark/>
          </w:tcPr>
          <w:p w14:paraId="2B5CFB3A"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2.696E-03</w:t>
            </w:r>
          </w:p>
        </w:tc>
        <w:tc>
          <w:tcPr>
            <w:tcW w:w="577" w:type="pct"/>
            <w:tcBorders>
              <w:top w:val="nil"/>
              <w:left w:val="nil"/>
              <w:bottom w:val="nil"/>
              <w:right w:val="nil"/>
            </w:tcBorders>
            <w:hideMark/>
          </w:tcPr>
          <w:p w14:paraId="291EB8F0"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1.178E-03</w:t>
            </w:r>
          </w:p>
        </w:tc>
        <w:tc>
          <w:tcPr>
            <w:tcW w:w="722" w:type="pct"/>
            <w:tcBorders>
              <w:top w:val="nil"/>
              <w:left w:val="nil"/>
              <w:bottom w:val="nil"/>
              <w:right w:val="nil"/>
            </w:tcBorders>
            <w:hideMark/>
          </w:tcPr>
          <w:p w14:paraId="1AA99300"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2.815E-01</w:t>
            </w:r>
          </w:p>
        </w:tc>
      </w:tr>
      <w:tr w:rsidR="003C05E7" w:rsidRPr="002E79FB" w14:paraId="19C158E3" w14:textId="77777777" w:rsidTr="002E79FB">
        <w:trPr>
          <w:trHeight w:val="230"/>
        </w:trPr>
        <w:tc>
          <w:tcPr>
            <w:tcW w:w="433" w:type="pct"/>
            <w:tcBorders>
              <w:top w:val="nil"/>
              <w:left w:val="nil"/>
              <w:bottom w:val="nil"/>
              <w:right w:val="nil"/>
            </w:tcBorders>
            <w:hideMark/>
          </w:tcPr>
          <w:p w14:paraId="212FD284"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²³²Th</w:t>
            </w:r>
          </w:p>
        </w:tc>
        <w:tc>
          <w:tcPr>
            <w:tcW w:w="528" w:type="pct"/>
            <w:tcBorders>
              <w:top w:val="nil"/>
              <w:left w:val="nil"/>
              <w:bottom w:val="nil"/>
              <w:right w:val="nil"/>
            </w:tcBorders>
            <w:hideMark/>
          </w:tcPr>
          <w:p w14:paraId="42ABE533"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1.733E-01</w:t>
            </w:r>
          </w:p>
        </w:tc>
        <w:tc>
          <w:tcPr>
            <w:tcW w:w="577" w:type="pct"/>
            <w:tcBorders>
              <w:top w:val="nil"/>
              <w:left w:val="nil"/>
              <w:bottom w:val="nil"/>
              <w:right w:val="nil"/>
            </w:tcBorders>
            <w:hideMark/>
          </w:tcPr>
          <w:p w14:paraId="5784A7CC"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6.350E-04</w:t>
            </w:r>
          </w:p>
        </w:tc>
        <w:tc>
          <w:tcPr>
            <w:tcW w:w="541" w:type="pct"/>
            <w:tcBorders>
              <w:top w:val="nil"/>
              <w:left w:val="nil"/>
              <w:bottom w:val="nil"/>
              <w:right w:val="nil"/>
            </w:tcBorders>
            <w:hideMark/>
          </w:tcPr>
          <w:p w14:paraId="172627E3"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8.629E-03</w:t>
            </w:r>
          </w:p>
        </w:tc>
        <w:tc>
          <w:tcPr>
            <w:tcW w:w="565" w:type="pct"/>
            <w:tcBorders>
              <w:top w:val="nil"/>
              <w:left w:val="nil"/>
              <w:bottom w:val="nil"/>
              <w:right w:val="nil"/>
            </w:tcBorders>
            <w:hideMark/>
          </w:tcPr>
          <w:p w14:paraId="2DD4DCB9"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1.830E-01</w:t>
            </w:r>
          </w:p>
        </w:tc>
        <w:tc>
          <w:tcPr>
            <w:tcW w:w="529" w:type="pct"/>
            <w:tcBorders>
              <w:top w:val="nil"/>
              <w:left w:val="nil"/>
              <w:bottom w:val="nil"/>
              <w:right w:val="nil"/>
            </w:tcBorders>
            <w:hideMark/>
          </w:tcPr>
          <w:p w14:paraId="5A2473F5"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1.050E-02</w:t>
            </w:r>
          </w:p>
        </w:tc>
        <w:tc>
          <w:tcPr>
            <w:tcW w:w="528" w:type="pct"/>
            <w:tcBorders>
              <w:top w:val="nil"/>
              <w:left w:val="nil"/>
              <w:bottom w:val="nil"/>
              <w:right w:val="nil"/>
            </w:tcBorders>
            <w:hideMark/>
          </w:tcPr>
          <w:p w14:paraId="4381542C"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1.277E-02</w:t>
            </w:r>
          </w:p>
        </w:tc>
        <w:tc>
          <w:tcPr>
            <w:tcW w:w="577" w:type="pct"/>
            <w:tcBorders>
              <w:top w:val="nil"/>
              <w:left w:val="nil"/>
              <w:bottom w:val="nil"/>
              <w:right w:val="nil"/>
            </w:tcBorders>
            <w:hideMark/>
          </w:tcPr>
          <w:p w14:paraId="5386F17A"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2.374E-03</w:t>
            </w:r>
          </w:p>
        </w:tc>
        <w:tc>
          <w:tcPr>
            <w:tcW w:w="722" w:type="pct"/>
            <w:tcBorders>
              <w:top w:val="nil"/>
              <w:left w:val="nil"/>
              <w:bottom w:val="nil"/>
              <w:right w:val="nil"/>
            </w:tcBorders>
            <w:hideMark/>
          </w:tcPr>
          <w:p w14:paraId="7AEAB8D2"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3.913E-01</w:t>
            </w:r>
          </w:p>
        </w:tc>
      </w:tr>
      <w:tr w:rsidR="003C05E7" w:rsidRPr="002E79FB" w14:paraId="1A187D0D" w14:textId="77777777" w:rsidTr="002E79FB">
        <w:trPr>
          <w:trHeight w:val="230"/>
        </w:trPr>
        <w:tc>
          <w:tcPr>
            <w:tcW w:w="433" w:type="pct"/>
            <w:tcBorders>
              <w:top w:val="nil"/>
              <w:left w:val="nil"/>
              <w:bottom w:val="single" w:sz="4" w:space="0" w:color="000000" w:themeColor="text1"/>
              <w:right w:val="nil"/>
            </w:tcBorders>
            <w:hideMark/>
          </w:tcPr>
          <w:p w14:paraId="297BB50A"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Total</w:t>
            </w:r>
          </w:p>
        </w:tc>
        <w:tc>
          <w:tcPr>
            <w:tcW w:w="528" w:type="pct"/>
            <w:tcBorders>
              <w:top w:val="nil"/>
              <w:left w:val="nil"/>
              <w:bottom w:val="single" w:sz="4" w:space="0" w:color="000000" w:themeColor="text1"/>
              <w:right w:val="nil"/>
            </w:tcBorders>
            <w:hideMark/>
          </w:tcPr>
          <w:p w14:paraId="09DCF96F"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3.595E-01</w:t>
            </w:r>
          </w:p>
        </w:tc>
        <w:tc>
          <w:tcPr>
            <w:tcW w:w="577" w:type="pct"/>
            <w:tcBorders>
              <w:top w:val="nil"/>
              <w:left w:val="nil"/>
              <w:bottom w:val="single" w:sz="4" w:space="0" w:color="000000" w:themeColor="text1"/>
              <w:right w:val="nil"/>
            </w:tcBorders>
            <w:hideMark/>
          </w:tcPr>
          <w:p w14:paraId="7D59BEA8"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6.590E-04</w:t>
            </w:r>
          </w:p>
        </w:tc>
        <w:tc>
          <w:tcPr>
            <w:tcW w:w="541" w:type="pct"/>
            <w:tcBorders>
              <w:top w:val="nil"/>
              <w:left w:val="nil"/>
              <w:bottom w:val="single" w:sz="4" w:space="0" w:color="000000" w:themeColor="text1"/>
              <w:right w:val="nil"/>
            </w:tcBorders>
            <w:hideMark/>
          </w:tcPr>
          <w:p w14:paraId="76F44118"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1.870E-01</w:t>
            </w:r>
          </w:p>
        </w:tc>
        <w:tc>
          <w:tcPr>
            <w:tcW w:w="565" w:type="pct"/>
            <w:tcBorders>
              <w:top w:val="nil"/>
              <w:left w:val="nil"/>
              <w:bottom w:val="single" w:sz="4" w:space="0" w:color="000000" w:themeColor="text1"/>
              <w:right w:val="nil"/>
            </w:tcBorders>
            <w:hideMark/>
          </w:tcPr>
          <w:p w14:paraId="13721E8C"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3.759E-01</w:t>
            </w:r>
          </w:p>
        </w:tc>
        <w:tc>
          <w:tcPr>
            <w:tcW w:w="529" w:type="pct"/>
            <w:tcBorders>
              <w:top w:val="nil"/>
              <w:left w:val="nil"/>
              <w:bottom w:val="single" w:sz="4" w:space="0" w:color="000000" w:themeColor="text1"/>
              <w:right w:val="nil"/>
            </w:tcBorders>
            <w:hideMark/>
          </w:tcPr>
          <w:p w14:paraId="1C0A98D5"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1.550E-01</w:t>
            </w:r>
          </w:p>
        </w:tc>
        <w:tc>
          <w:tcPr>
            <w:tcW w:w="528" w:type="pct"/>
            <w:tcBorders>
              <w:top w:val="nil"/>
              <w:left w:val="nil"/>
              <w:bottom w:val="single" w:sz="4" w:space="0" w:color="000000" w:themeColor="text1"/>
              <w:right w:val="nil"/>
            </w:tcBorders>
            <w:hideMark/>
          </w:tcPr>
          <w:p w14:paraId="5D95F127"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7.413E-02</w:t>
            </w:r>
          </w:p>
        </w:tc>
        <w:tc>
          <w:tcPr>
            <w:tcW w:w="577" w:type="pct"/>
            <w:tcBorders>
              <w:top w:val="nil"/>
              <w:left w:val="nil"/>
              <w:bottom w:val="single" w:sz="4" w:space="0" w:color="000000" w:themeColor="text1"/>
              <w:right w:val="nil"/>
            </w:tcBorders>
            <w:hideMark/>
          </w:tcPr>
          <w:p w14:paraId="5C5153D6"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3.711E-03</w:t>
            </w:r>
          </w:p>
        </w:tc>
        <w:tc>
          <w:tcPr>
            <w:tcW w:w="722" w:type="pct"/>
            <w:tcBorders>
              <w:top w:val="nil"/>
              <w:left w:val="nil"/>
              <w:bottom w:val="single" w:sz="4" w:space="0" w:color="000000" w:themeColor="text1"/>
              <w:right w:val="nil"/>
            </w:tcBorders>
            <w:hideMark/>
          </w:tcPr>
          <w:p w14:paraId="370A1D72"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1.156E+00</w:t>
            </w:r>
          </w:p>
        </w:tc>
      </w:tr>
    </w:tbl>
    <w:p w14:paraId="38821F02" w14:textId="2098B458" w:rsidR="003C05E7" w:rsidRDefault="003C05E7" w:rsidP="00E6189F">
      <w:pPr>
        <w:spacing w:after="0" w:line="240" w:lineRule="auto"/>
        <w:jc w:val="both"/>
        <w:rPr>
          <w:rFonts w:ascii="Times New Roman" w:hAnsi="Times New Roman" w:cs="Times New Roman"/>
          <w:i/>
          <w:iCs/>
          <w:sz w:val="20"/>
          <w:szCs w:val="20"/>
        </w:rPr>
      </w:pPr>
      <w:r w:rsidRPr="003C05E7">
        <w:rPr>
          <w:rFonts w:ascii="Times New Roman" w:hAnsi="Times New Roman" w:cs="Times New Roman"/>
          <w:i/>
          <w:iCs/>
          <w:sz w:val="20"/>
          <w:szCs w:val="20"/>
        </w:rPr>
        <w:t>Note</w:t>
      </w:r>
      <w:r w:rsidR="00E6189F">
        <w:rPr>
          <w:rFonts w:ascii="Times New Roman" w:hAnsi="Times New Roman" w:cs="Times New Roman"/>
          <w:i/>
          <w:iCs/>
          <w:sz w:val="20"/>
          <w:szCs w:val="20"/>
        </w:rPr>
        <w:t>:</w:t>
      </w:r>
      <w:r w:rsidRPr="003C05E7">
        <w:rPr>
          <w:rFonts w:ascii="Times New Roman" w:hAnsi="Times New Roman" w:cs="Times New Roman"/>
          <w:i/>
          <w:iCs/>
          <w:sz w:val="20"/>
          <w:szCs w:val="20"/>
        </w:rPr>
        <w:t xml:space="preserve"> Water-</w:t>
      </w:r>
      <w:r w:rsidR="00E6189F" w:rsidRPr="003C05E7">
        <w:rPr>
          <w:rFonts w:ascii="Times New Roman" w:hAnsi="Times New Roman" w:cs="Times New Roman"/>
          <w:i/>
          <w:iCs/>
          <w:sz w:val="20"/>
          <w:szCs w:val="20"/>
        </w:rPr>
        <w:t xml:space="preserve">Dependent Pathway Contributions </w:t>
      </w:r>
      <w:r w:rsidRPr="003C05E7">
        <w:rPr>
          <w:rFonts w:ascii="Times New Roman" w:hAnsi="Times New Roman" w:cs="Times New Roman"/>
          <w:i/>
          <w:iCs/>
          <w:sz w:val="20"/>
          <w:szCs w:val="20"/>
        </w:rPr>
        <w:t xml:space="preserve">were </w:t>
      </w:r>
      <w:r w:rsidR="00E6189F" w:rsidRPr="003C05E7">
        <w:rPr>
          <w:rFonts w:ascii="Times New Roman" w:hAnsi="Times New Roman" w:cs="Times New Roman"/>
          <w:i/>
          <w:iCs/>
          <w:sz w:val="20"/>
          <w:szCs w:val="20"/>
        </w:rPr>
        <w:t xml:space="preserve">Zero </w:t>
      </w:r>
      <w:r w:rsidRPr="003C05E7">
        <w:rPr>
          <w:rFonts w:ascii="Times New Roman" w:hAnsi="Times New Roman" w:cs="Times New Roman"/>
          <w:i/>
          <w:iCs/>
          <w:sz w:val="20"/>
          <w:szCs w:val="20"/>
        </w:rPr>
        <w:t xml:space="preserve">for </w:t>
      </w:r>
      <w:r w:rsidR="00E6189F" w:rsidRPr="003C05E7">
        <w:rPr>
          <w:rFonts w:ascii="Times New Roman" w:hAnsi="Times New Roman" w:cs="Times New Roman"/>
          <w:i/>
          <w:iCs/>
          <w:sz w:val="20"/>
          <w:szCs w:val="20"/>
        </w:rPr>
        <w:t>All Nuclides</w:t>
      </w:r>
      <w:r w:rsidRPr="003C05E7">
        <w:rPr>
          <w:rFonts w:ascii="Times New Roman" w:hAnsi="Times New Roman" w:cs="Times New Roman"/>
          <w:i/>
          <w:iCs/>
          <w:sz w:val="20"/>
          <w:szCs w:val="20"/>
        </w:rPr>
        <w:t xml:space="preserve">. All </w:t>
      </w:r>
      <w:r w:rsidR="00E6189F" w:rsidRPr="003C05E7">
        <w:rPr>
          <w:rFonts w:ascii="Times New Roman" w:hAnsi="Times New Roman" w:cs="Times New Roman"/>
          <w:i/>
          <w:iCs/>
          <w:sz w:val="20"/>
          <w:szCs w:val="20"/>
        </w:rPr>
        <w:t xml:space="preserve">Values </w:t>
      </w:r>
      <w:r w:rsidRPr="003C05E7">
        <w:rPr>
          <w:rFonts w:ascii="Times New Roman" w:hAnsi="Times New Roman" w:cs="Times New Roman"/>
          <w:i/>
          <w:iCs/>
          <w:sz w:val="20"/>
          <w:szCs w:val="20"/>
        </w:rPr>
        <w:t>in mSv yr</w:t>
      </w:r>
      <w:r w:rsidRPr="003C05E7">
        <w:rPr>
          <w:rFonts w:ascii="Times New Roman" w:eastAsia="MS Gothic" w:hAnsi="Times New Roman" w:cs="Times New Roman"/>
          <w:i/>
          <w:iCs/>
          <w:sz w:val="20"/>
          <w:szCs w:val="20"/>
        </w:rPr>
        <w:t>⁻</w:t>
      </w:r>
      <w:r w:rsidRPr="003C05E7">
        <w:rPr>
          <w:rFonts w:ascii="Times New Roman" w:hAnsi="Times New Roman" w:cs="Times New Roman"/>
          <w:i/>
          <w:iCs/>
          <w:sz w:val="20"/>
          <w:szCs w:val="20"/>
        </w:rPr>
        <w:t xml:space="preserve">¹. From RESRAD-Onsite 7.2 </w:t>
      </w:r>
      <w:r w:rsidR="00E6189F" w:rsidRPr="003C05E7">
        <w:rPr>
          <w:rFonts w:ascii="Times New Roman" w:hAnsi="Times New Roman" w:cs="Times New Roman"/>
          <w:i/>
          <w:iCs/>
          <w:sz w:val="20"/>
          <w:szCs w:val="20"/>
        </w:rPr>
        <w:t xml:space="preserve">Output File </w:t>
      </w:r>
      <w:r w:rsidRPr="003C05E7">
        <w:rPr>
          <w:rFonts w:ascii="Times New Roman" w:hAnsi="Times New Roman" w:cs="Times New Roman"/>
          <w:i/>
          <w:iCs/>
          <w:sz w:val="20"/>
          <w:szCs w:val="20"/>
        </w:rPr>
        <w:t>SITE4.RAD</w:t>
      </w:r>
    </w:p>
    <w:p w14:paraId="5BA3CD8F" w14:textId="77777777" w:rsidR="00E6189F" w:rsidRPr="003C05E7" w:rsidRDefault="00E6189F" w:rsidP="003C05E7">
      <w:pPr>
        <w:spacing w:after="0" w:line="240" w:lineRule="auto"/>
        <w:rPr>
          <w:rFonts w:ascii="Times New Roman" w:eastAsia="Times New Roman" w:hAnsi="Times New Roman" w:cs="Times New Roman"/>
          <w:sz w:val="20"/>
          <w:szCs w:val="20"/>
          <w:lang w:val="zh-CN" w:eastAsia="zh-CN"/>
        </w:rPr>
      </w:pPr>
    </w:p>
    <w:p w14:paraId="72EC6DE9" w14:textId="13C3A3A1" w:rsidR="003C05E7" w:rsidRPr="003C05E7" w:rsidRDefault="003C05E7" w:rsidP="003C05E7">
      <w:pPr>
        <w:spacing w:after="0" w:line="240" w:lineRule="auto"/>
        <w:jc w:val="center"/>
        <w:rPr>
          <w:rFonts w:ascii="Times New Roman" w:hAnsi="Times New Roman" w:cs="Times New Roman"/>
          <w:sz w:val="20"/>
          <w:szCs w:val="20"/>
        </w:rPr>
      </w:pPr>
      <w:r w:rsidRPr="003C05E7">
        <w:rPr>
          <w:rFonts w:ascii="Times New Roman" w:hAnsi="Times New Roman" w:cs="Times New Roman"/>
          <w:noProof/>
          <w:sz w:val="20"/>
          <w:szCs w:val="20"/>
        </w:rPr>
        <w:drawing>
          <wp:inline distT="0" distB="0" distL="0" distR="0" wp14:anchorId="7EE9C91C" wp14:editId="65D1A3FD">
            <wp:extent cx="4425950" cy="1816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l="2113" t="2882" r="3471"/>
                    <a:stretch>
                      <a:fillRect/>
                    </a:stretch>
                  </pic:blipFill>
                  <pic:spPr bwMode="auto">
                    <a:xfrm>
                      <a:off x="0" y="0"/>
                      <a:ext cx="4425950" cy="1816100"/>
                    </a:xfrm>
                    <a:prstGeom prst="rect">
                      <a:avLst/>
                    </a:prstGeom>
                    <a:noFill/>
                    <a:ln>
                      <a:noFill/>
                    </a:ln>
                  </pic:spPr>
                </pic:pic>
              </a:graphicData>
            </a:graphic>
          </wp:inline>
        </w:drawing>
      </w:r>
    </w:p>
    <w:p w14:paraId="734169D8" w14:textId="6844D908" w:rsidR="003C05E7" w:rsidRPr="003C05E7" w:rsidRDefault="003C05E7" w:rsidP="002E79FB">
      <w:pPr>
        <w:spacing w:after="0" w:line="240" w:lineRule="auto"/>
        <w:ind w:left="1170" w:right="1082"/>
        <w:jc w:val="both"/>
        <w:rPr>
          <w:rFonts w:ascii="Times New Roman" w:eastAsiaTheme="minorEastAsia" w:hAnsi="Times New Roman" w:cs="Times New Roman"/>
          <w:sz w:val="20"/>
          <w:szCs w:val="20"/>
        </w:rPr>
      </w:pPr>
      <w:r w:rsidRPr="003C05E7">
        <w:rPr>
          <w:rFonts w:ascii="Times New Roman" w:hAnsi="Times New Roman" w:cs="Times New Roman"/>
          <w:sz w:val="20"/>
          <w:szCs w:val="20"/>
        </w:rPr>
        <w:t>Figure 2</w:t>
      </w:r>
      <w:r w:rsidR="00E6189F">
        <w:rPr>
          <w:rFonts w:ascii="Times New Roman" w:hAnsi="Times New Roman" w:cs="Times New Roman"/>
          <w:sz w:val="20"/>
          <w:szCs w:val="20"/>
        </w:rPr>
        <w:t>:</w:t>
      </w:r>
      <w:r w:rsidRPr="003C05E7">
        <w:rPr>
          <w:rFonts w:ascii="Times New Roman" w:hAnsi="Times New Roman" w:cs="Times New Roman"/>
          <w:sz w:val="20"/>
          <w:szCs w:val="20"/>
        </w:rPr>
        <w:t xml:space="preserve"> </w:t>
      </w:r>
      <w:r w:rsidR="00DE76B3" w:rsidRPr="003C05E7">
        <w:rPr>
          <w:rFonts w:ascii="Times New Roman" w:hAnsi="Times New Roman" w:cs="Times New Roman"/>
          <w:sz w:val="20"/>
          <w:szCs w:val="20"/>
        </w:rPr>
        <w:t>Dose</w:t>
      </w:r>
      <w:r w:rsidR="00E6189F">
        <w:rPr>
          <w:rFonts w:ascii="Times New Roman" w:hAnsi="Times New Roman" w:cs="Times New Roman"/>
          <w:sz w:val="20"/>
          <w:szCs w:val="20"/>
        </w:rPr>
        <w:t>-</w:t>
      </w:r>
      <w:r w:rsidRPr="003C05E7">
        <w:rPr>
          <w:rFonts w:ascii="Times New Roman" w:hAnsi="Times New Roman" w:cs="Times New Roman"/>
          <w:sz w:val="20"/>
          <w:szCs w:val="20"/>
        </w:rPr>
        <w:t xml:space="preserve"> All Nuclides Summed, All Pathways Summed — Total Radiological Dose (mSv/</w:t>
      </w:r>
      <w:proofErr w:type="spellStart"/>
      <w:r w:rsidRPr="003C05E7">
        <w:rPr>
          <w:rFonts w:ascii="Times New Roman" w:hAnsi="Times New Roman" w:cs="Times New Roman"/>
          <w:sz w:val="20"/>
          <w:szCs w:val="20"/>
        </w:rPr>
        <w:t>yr</w:t>
      </w:r>
      <w:proofErr w:type="spellEnd"/>
      <w:r w:rsidRPr="003C05E7">
        <w:rPr>
          <w:rFonts w:ascii="Times New Roman" w:hAnsi="Times New Roman" w:cs="Times New Roman"/>
          <w:sz w:val="20"/>
          <w:szCs w:val="20"/>
        </w:rPr>
        <w:t xml:space="preserve">) over 1000 Years at </w:t>
      </w:r>
      <w:proofErr w:type="spellStart"/>
      <w:r w:rsidRPr="003C05E7">
        <w:rPr>
          <w:rFonts w:ascii="Times New Roman" w:hAnsi="Times New Roman" w:cs="Times New Roman"/>
          <w:sz w:val="20"/>
          <w:szCs w:val="20"/>
        </w:rPr>
        <w:t>Hongyum</w:t>
      </w:r>
      <w:proofErr w:type="spellEnd"/>
      <w:r w:rsidRPr="003C05E7">
        <w:rPr>
          <w:rFonts w:ascii="Times New Roman" w:hAnsi="Times New Roman" w:cs="Times New Roman"/>
          <w:sz w:val="20"/>
          <w:szCs w:val="20"/>
        </w:rPr>
        <w:t xml:space="preserve"> Quarry, </w:t>
      </w:r>
      <w:proofErr w:type="spellStart"/>
      <w:r w:rsidRPr="003C05E7">
        <w:rPr>
          <w:rFonts w:ascii="Times New Roman" w:hAnsi="Times New Roman" w:cs="Times New Roman"/>
          <w:sz w:val="20"/>
          <w:szCs w:val="20"/>
        </w:rPr>
        <w:t>Mpape</w:t>
      </w:r>
      <w:proofErr w:type="spellEnd"/>
      <w:r w:rsidRPr="003C05E7">
        <w:rPr>
          <w:rFonts w:ascii="Times New Roman" w:hAnsi="Times New Roman" w:cs="Times New Roman"/>
          <w:sz w:val="20"/>
          <w:szCs w:val="20"/>
        </w:rPr>
        <w:t xml:space="preserve"> (cover depth = 0.00 m). Maximum Dose = 1.156E+00 mSv/</w:t>
      </w:r>
      <w:proofErr w:type="spellStart"/>
      <w:r w:rsidRPr="003C05E7">
        <w:rPr>
          <w:rFonts w:ascii="Times New Roman" w:hAnsi="Times New Roman" w:cs="Times New Roman"/>
          <w:sz w:val="20"/>
          <w:szCs w:val="20"/>
        </w:rPr>
        <w:t>yr</w:t>
      </w:r>
      <w:proofErr w:type="spellEnd"/>
      <w:r w:rsidRPr="003C05E7">
        <w:rPr>
          <w:rFonts w:ascii="Times New Roman" w:hAnsi="Times New Roman" w:cs="Times New Roman"/>
          <w:sz w:val="20"/>
          <w:szCs w:val="20"/>
        </w:rPr>
        <w:t xml:space="preserve"> at t = 37.65 ± 0.08 </w:t>
      </w:r>
      <w:r w:rsidR="00820066" w:rsidRPr="003C05E7">
        <w:rPr>
          <w:rFonts w:ascii="Times New Roman" w:hAnsi="Times New Roman" w:cs="Times New Roman"/>
          <w:sz w:val="20"/>
          <w:szCs w:val="20"/>
        </w:rPr>
        <w:t>Years</w:t>
      </w:r>
      <w:r w:rsidRPr="003C05E7">
        <w:rPr>
          <w:rFonts w:ascii="Times New Roman" w:hAnsi="Times New Roman" w:cs="Times New Roman"/>
          <w:sz w:val="20"/>
          <w:szCs w:val="20"/>
        </w:rPr>
        <w:t xml:space="preserve">, Exceeding the </w:t>
      </w:r>
      <w:proofErr w:type="spellStart"/>
      <w:r w:rsidRPr="003C05E7">
        <w:rPr>
          <w:rFonts w:ascii="Times New Roman" w:hAnsi="Times New Roman" w:cs="Times New Roman"/>
          <w:sz w:val="20"/>
          <w:szCs w:val="20"/>
        </w:rPr>
        <w:t>BRDL</w:t>
      </w:r>
      <w:proofErr w:type="spellEnd"/>
      <w:r w:rsidRPr="003C05E7">
        <w:rPr>
          <w:rFonts w:ascii="Times New Roman" w:hAnsi="Times New Roman" w:cs="Times New Roman"/>
          <w:sz w:val="20"/>
          <w:szCs w:val="20"/>
        </w:rPr>
        <w:t xml:space="preserve"> of 1.000E+00 mSv/</w:t>
      </w:r>
      <w:proofErr w:type="spellStart"/>
      <w:r w:rsidRPr="003C05E7">
        <w:rPr>
          <w:rFonts w:ascii="Times New Roman" w:hAnsi="Times New Roman" w:cs="Times New Roman"/>
          <w:sz w:val="20"/>
          <w:szCs w:val="20"/>
        </w:rPr>
        <w:t>yr</w:t>
      </w:r>
      <w:proofErr w:type="spellEnd"/>
    </w:p>
    <w:p w14:paraId="2F867A62" w14:textId="77777777" w:rsidR="003C05E7" w:rsidRPr="003C05E7" w:rsidRDefault="003C05E7" w:rsidP="003C05E7">
      <w:pPr>
        <w:spacing w:after="0" w:line="240" w:lineRule="auto"/>
        <w:jc w:val="center"/>
        <w:rPr>
          <w:rFonts w:ascii="Times New Roman" w:eastAsiaTheme="minorEastAsia" w:hAnsi="Times New Roman" w:cs="Times New Roman"/>
          <w:sz w:val="20"/>
          <w:szCs w:val="20"/>
        </w:rPr>
      </w:pPr>
    </w:p>
    <w:p w14:paraId="5511BF44" w14:textId="3F731789" w:rsidR="003C05E7" w:rsidRPr="003C05E7" w:rsidRDefault="003C05E7" w:rsidP="003C05E7">
      <w:pPr>
        <w:spacing w:after="0" w:line="240" w:lineRule="auto"/>
        <w:jc w:val="center"/>
        <w:rPr>
          <w:rFonts w:ascii="Times New Roman" w:eastAsia="Times New Roman" w:hAnsi="Times New Roman" w:cs="Times New Roman"/>
          <w:sz w:val="20"/>
          <w:szCs w:val="20"/>
        </w:rPr>
      </w:pPr>
      <w:r w:rsidRPr="003C05E7">
        <w:rPr>
          <w:rFonts w:ascii="Times New Roman" w:hAnsi="Times New Roman" w:cs="Times New Roman"/>
          <w:b/>
          <w:noProof/>
          <w:sz w:val="20"/>
          <w:szCs w:val="20"/>
        </w:rPr>
        <w:drawing>
          <wp:inline distT="0" distB="0" distL="0" distR="0" wp14:anchorId="69D544C9" wp14:editId="6E2B48B5">
            <wp:extent cx="4244975" cy="1416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l="2040" t="3217" r="3789" b="9180"/>
                    <a:stretch>
                      <a:fillRect/>
                    </a:stretch>
                  </pic:blipFill>
                  <pic:spPr bwMode="auto">
                    <a:xfrm>
                      <a:off x="0" y="0"/>
                      <a:ext cx="4244975" cy="1416050"/>
                    </a:xfrm>
                    <a:prstGeom prst="rect">
                      <a:avLst/>
                    </a:prstGeom>
                    <a:noFill/>
                    <a:ln>
                      <a:noFill/>
                    </a:ln>
                  </pic:spPr>
                </pic:pic>
              </a:graphicData>
            </a:graphic>
          </wp:inline>
        </w:drawing>
      </w:r>
    </w:p>
    <w:p w14:paraId="24E3805A" w14:textId="263092E5" w:rsidR="003C05E7" w:rsidRPr="003C05E7" w:rsidRDefault="003C05E7" w:rsidP="002E79FB">
      <w:pPr>
        <w:spacing w:after="0" w:line="240" w:lineRule="auto"/>
        <w:ind w:left="1440" w:right="1172"/>
        <w:jc w:val="both"/>
        <w:rPr>
          <w:rFonts w:ascii="Times New Roman" w:eastAsiaTheme="minorEastAsia" w:hAnsi="Times New Roman" w:cs="Times New Roman"/>
          <w:sz w:val="20"/>
          <w:szCs w:val="20"/>
        </w:rPr>
      </w:pPr>
      <w:r w:rsidRPr="003C05E7">
        <w:rPr>
          <w:rFonts w:ascii="Times New Roman" w:hAnsi="Times New Roman" w:cs="Times New Roman"/>
          <w:sz w:val="20"/>
          <w:szCs w:val="20"/>
        </w:rPr>
        <w:t xml:space="preserve">Figure 3: </w:t>
      </w:r>
      <w:r w:rsidR="00DE76B3" w:rsidRPr="003C05E7">
        <w:rPr>
          <w:rFonts w:ascii="Times New Roman" w:hAnsi="Times New Roman" w:cs="Times New Roman"/>
          <w:sz w:val="20"/>
          <w:szCs w:val="20"/>
        </w:rPr>
        <w:t>Dose</w:t>
      </w:r>
      <w:r w:rsidRPr="003C05E7">
        <w:rPr>
          <w:rFonts w:ascii="Times New Roman" w:hAnsi="Times New Roman" w:cs="Times New Roman"/>
          <w:sz w:val="20"/>
          <w:szCs w:val="20"/>
        </w:rPr>
        <w:t>- All Nuclides Summed, Component Pathways — Individual Exposure Pathway Contributions to Total Dose (mSv/</w:t>
      </w:r>
      <w:proofErr w:type="spellStart"/>
      <w:r w:rsidRPr="003C05E7">
        <w:rPr>
          <w:rFonts w:ascii="Times New Roman" w:hAnsi="Times New Roman" w:cs="Times New Roman"/>
          <w:sz w:val="20"/>
          <w:szCs w:val="20"/>
        </w:rPr>
        <w:t>yr</w:t>
      </w:r>
      <w:proofErr w:type="spellEnd"/>
      <w:r w:rsidRPr="003C05E7">
        <w:rPr>
          <w:rFonts w:ascii="Times New Roman" w:hAnsi="Times New Roman" w:cs="Times New Roman"/>
          <w:sz w:val="20"/>
          <w:szCs w:val="20"/>
        </w:rPr>
        <w:t>) Over 1000 Years. External Gamma, Plant Ingestion, and Radon are the Dominant Pathways</w:t>
      </w:r>
    </w:p>
    <w:p w14:paraId="6D65C85A" w14:textId="77777777" w:rsidR="00BC3E01" w:rsidRDefault="00BC3E01" w:rsidP="003C05E7">
      <w:pPr>
        <w:spacing w:after="0" w:line="240" w:lineRule="auto"/>
        <w:rPr>
          <w:rFonts w:ascii="Times New Roman" w:hAnsi="Times New Roman" w:cs="Times New Roman"/>
          <w:b/>
          <w:bCs/>
          <w:sz w:val="20"/>
          <w:szCs w:val="20"/>
        </w:rPr>
        <w:sectPr w:rsidR="00BC3E01" w:rsidSect="002A637C">
          <w:type w:val="continuous"/>
          <w:pgSz w:w="12242" w:h="15842" w:code="1"/>
          <w:pgMar w:top="1440" w:right="1440" w:bottom="1440" w:left="1440" w:header="709" w:footer="709" w:gutter="0"/>
          <w:cols w:space="284"/>
          <w:docGrid w:linePitch="360"/>
        </w:sectPr>
      </w:pPr>
    </w:p>
    <w:p w14:paraId="45040091" w14:textId="261ACE37" w:rsidR="003C05E7" w:rsidRPr="00BC3E01" w:rsidRDefault="003C05E7" w:rsidP="003C05E7">
      <w:pPr>
        <w:spacing w:after="0" w:line="240" w:lineRule="auto"/>
        <w:rPr>
          <w:rFonts w:ascii="Times New Roman" w:eastAsia="Times New Roman" w:hAnsi="Times New Roman" w:cs="Times New Roman"/>
          <w:sz w:val="20"/>
          <w:szCs w:val="20"/>
        </w:rPr>
      </w:pPr>
      <w:r w:rsidRPr="00BC3E01">
        <w:rPr>
          <w:rFonts w:ascii="Times New Roman" w:hAnsi="Times New Roman" w:cs="Times New Roman"/>
          <w:b/>
          <w:bCs/>
          <w:sz w:val="20"/>
          <w:szCs w:val="20"/>
        </w:rPr>
        <w:lastRenderedPageBreak/>
        <w:t>Excess Cancer Risk Assessment</w:t>
      </w:r>
    </w:p>
    <w:p w14:paraId="23977F94" w14:textId="77777777" w:rsidR="00BC3E01" w:rsidRDefault="003C05E7" w:rsidP="003C05E7">
      <w:pPr>
        <w:spacing w:after="0" w:line="240" w:lineRule="auto"/>
        <w:jc w:val="both"/>
        <w:rPr>
          <w:rFonts w:ascii="Times New Roman" w:hAnsi="Times New Roman" w:cs="Times New Roman"/>
          <w:sz w:val="20"/>
          <w:szCs w:val="20"/>
        </w:rPr>
        <w:sectPr w:rsidR="00BC3E01" w:rsidSect="00BC3E01">
          <w:type w:val="continuous"/>
          <w:pgSz w:w="12242" w:h="15842" w:code="1"/>
          <w:pgMar w:top="1440" w:right="1440" w:bottom="1440" w:left="1440" w:header="709" w:footer="709" w:gutter="0"/>
          <w:cols w:num="2" w:space="288"/>
          <w:docGrid w:linePitch="360"/>
        </w:sectPr>
      </w:pPr>
      <w:r w:rsidRPr="003C05E7">
        <w:rPr>
          <w:rFonts w:ascii="Times New Roman" w:hAnsi="Times New Roman" w:cs="Times New Roman"/>
          <w:sz w:val="20"/>
          <w:szCs w:val="20"/>
        </w:rPr>
        <w:t>The excess cancer risks attributable to each radionuclide and pathway at t = 0 years are presented in Table 6 and illustrated in Figure 4. The total excess cancer risk across all pathways and nuclides was 3.306E-03, which is 11.02 times higher than the WHO- and ICRP-recommended upper limit of 3.00 × 10</w:t>
      </w:r>
      <w:r w:rsidRPr="003C05E7">
        <w:rPr>
          <w:rFonts w:ascii="Times New Roman" w:eastAsia="MS Gothic" w:hAnsi="Times New Roman" w:cs="Times New Roman"/>
          <w:sz w:val="20"/>
          <w:szCs w:val="20"/>
        </w:rPr>
        <w:t>⁻⁴</w:t>
      </w:r>
      <w:r w:rsidRPr="003C05E7">
        <w:rPr>
          <w:rFonts w:ascii="Times New Roman" w:hAnsi="Times New Roman" w:cs="Times New Roman"/>
          <w:sz w:val="20"/>
          <w:szCs w:val="20"/>
        </w:rPr>
        <w:t xml:space="preserve"> for members of the public (WHO, 2000; ICRP, 1990). This level of cancer risk is consistent with findings from RESRAD-based assessments at other Nigerian mining and quarry sites (Abdu et al., 2024; Bello et al., 2022; Muhammad et al., 2024). Among the principal radionuclides,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 xml:space="preserve">K was the dominant contributor to total excess cancer risk at </w:t>
      </w:r>
      <w:r w:rsidRPr="003C05E7">
        <w:rPr>
          <w:rFonts w:ascii="Times New Roman" w:hAnsi="Times New Roman" w:cs="Times New Roman"/>
          <w:sz w:val="20"/>
          <w:szCs w:val="20"/>
        </w:rPr>
        <w:t xml:space="preserve">1.952E-03 (59.04% of total), driven primarily by its high activity concentration and its plant ingestion (6.566E-04) and meat ingestion (6.620E-04) pathway risks.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contributed 7.983E-04 (24.14%), with its radon pathway (6.279E-04) constituting the most significant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risk route.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contributed 5.560E-04 (16.82%) at t = 0. Within this total, the radon pathway alone — summing </w:t>
      </w:r>
      <w:r w:rsidRPr="003C05E7">
        <w:rPr>
          <w:rFonts w:ascii="Times New Roman" w:hAnsi="Times New Roman" w:cs="Times New Roman"/>
          <w:sz w:val="20"/>
          <w:szCs w:val="20"/>
          <w:vertAlign w:val="superscript"/>
        </w:rPr>
        <w:t>222</w:t>
      </w:r>
      <w:r w:rsidRPr="003C05E7">
        <w:rPr>
          <w:rFonts w:ascii="Times New Roman" w:hAnsi="Times New Roman" w:cs="Times New Roman"/>
          <w:sz w:val="20"/>
          <w:szCs w:val="20"/>
        </w:rPr>
        <w:t>Rn (λ = 6.519 × 10</w:t>
      </w:r>
      <w:r w:rsidRPr="003C05E7">
        <w:rPr>
          <w:rFonts w:ascii="Times New Roman" w:eastAsia="MS Gothic" w:hAnsi="Times New Roman" w:cs="Times New Roman"/>
          <w:sz w:val="20"/>
          <w:szCs w:val="20"/>
        </w:rPr>
        <w:t>⁻⁵</w:t>
      </w:r>
      <w:r w:rsidRPr="003C05E7">
        <w:rPr>
          <w:rFonts w:ascii="Times New Roman" w:hAnsi="Times New Roman" w:cs="Times New Roman"/>
          <w:sz w:val="20"/>
          <w:szCs w:val="20"/>
        </w:rPr>
        <w:t xml:space="preserve"> s</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w:t>
      </w:r>
      <w:r w:rsidRPr="003C05E7">
        <w:rPr>
          <w:rFonts w:ascii="Times New Roman" w:hAnsi="Times New Roman" w:cs="Times New Roman"/>
          <w:sz w:val="20"/>
          <w:szCs w:val="20"/>
          <w:vertAlign w:val="superscript"/>
        </w:rPr>
        <w:t>218</w:t>
      </w:r>
      <w:r w:rsidRPr="003C05E7">
        <w:rPr>
          <w:rFonts w:ascii="Times New Roman" w:hAnsi="Times New Roman" w:cs="Times New Roman"/>
          <w:sz w:val="20"/>
          <w:szCs w:val="20"/>
        </w:rPr>
        <w:t>Po (λ = 1.262 × 10</w:t>
      </w:r>
      <w:r w:rsidRPr="003C05E7">
        <w:rPr>
          <w:rFonts w:ascii="Times New Roman" w:eastAsia="MS Gothic" w:hAnsi="Times New Roman" w:cs="Times New Roman"/>
          <w:sz w:val="20"/>
          <w:szCs w:val="20"/>
        </w:rPr>
        <w:t>⁻⁴</w:t>
      </w:r>
      <w:r w:rsidRPr="003C05E7">
        <w:rPr>
          <w:rFonts w:ascii="Times New Roman" w:hAnsi="Times New Roman" w:cs="Times New Roman"/>
          <w:sz w:val="20"/>
          <w:szCs w:val="20"/>
        </w:rPr>
        <w:t xml:space="preserve"> s</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w:t>
      </w:r>
      <w:r w:rsidRPr="003C05E7">
        <w:rPr>
          <w:rFonts w:ascii="Times New Roman" w:hAnsi="Times New Roman" w:cs="Times New Roman"/>
          <w:sz w:val="20"/>
          <w:szCs w:val="20"/>
          <w:vertAlign w:val="superscript"/>
        </w:rPr>
        <w:t>214</w:t>
      </w:r>
      <w:r w:rsidRPr="003C05E7">
        <w:rPr>
          <w:rFonts w:ascii="Times New Roman" w:hAnsi="Times New Roman" w:cs="Times New Roman"/>
          <w:sz w:val="20"/>
          <w:szCs w:val="20"/>
        </w:rPr>
        <w:t>Pb (λ = 1.596 × 10</w:t>
      </w:r>
      <w:r w:rsidRPr="003C05E7">
        <w:rPr>
          <w:rFonts w:ascii="Times New Roman" w:eastAsia="MS Gothic" w:hAnsi="Times New Roman" w:cs="Times New Roman"/>
          <w:sz w:val="20"/>
          <w:szCs w:val="20"/>
        </w:rPr>
        <w:t>⁻⁴</w:t>
      </w:r>
      <w:r w:rsidRPr="003C05E7">
        <w:rPr>
          <w:rFonts w:ascii="Times New Roman" w:hAnsi="Times New Roman" w:cs="Times New Roman"/>
          <w:sz w:val="20"/>
          <w:szCs w:val="20"/>
        </w:rPr>
        <w:t xml:space="preserve"> s</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and </w:t>
      </w:r>
      <w:r w:rsidRPr="003C05E7">
        <w:rPr>
          <w:rFonts w:ascii="Times New Roman" w:hAnsi="Times New Roman" w:cs="Times New Roman"/>
          <w:sz w:val="20"/>
          <w:szCs w:val="20"/>
          <w:vertAlign w:val="superscript"/>
        </w:rPr>
        <w:t>214</w:t>
      </w:r>
      <w:r w:rsidRPr="003C05E7">
        <w:rPr>
          <w:rFonts w:ascii="Times New Roman" w:hAnsi="Times New Roman" w:cs="Times New Roman"/>
          <w:sz w:val="20"/>
          <w:szCs w:val="20"/>
        </w:rPr>
        <w:t>Bi (λ = 3.122 × 10</w:t>
      </w:r>
      <w:r w:rsidRPr="003C05E7">
        <w:rPr>
          <w:rFonts w:ascii="Times New Roman" w:eastAsia="MS Gothic" w:hAnsi="Times New Roman" w:cs="Times New Roman"/>
          <w:sz w:val="20"/>
          <w:szCs w:val="20"/>
        </w:rPr>
        <w:t>⁻⁴</w:t>
      </w:r>
      <w:r w:rsidRPr="003C05E7">
        <w:rPr>
          <w:rFonts w:ascii="Times New Roman" w:hAnsi="Times New Roman" w:cs="Times New Roman"/>
          <w:sz w:val="20"/>
          <w:szCs w:val="20"/>
        </w:rPr>
        <w:t xml:space="preserve"> s</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decay-product inhalation — accounts for 6.411E-04, or 19.4% of the total excess cancer risk, underscoring the importance of including radon decay-product inhalation explicitly in the risk assessment.</w:t>
      </w:r>
    </w:p>
    <w:p w14:paraId="3DA6D3CC" w14:textId="77777777" w:rsidR="003C05E7" w:rsidRPr="003C05E7" w:rsidRDefault="003C05E7" w:rsidP="003C05E7">
      <w:pPr>
        <w:spacing w:after="0" w:line="240" w:lineRule="auto"/>
        <w:rPr>
          <w:rFonts w:ascii="Times New Roman" w:eastAsiaTheme="minorEastAsia" w:hAnsi="Times New Roman" w:cs="Times New Roman"/>
          <w:b/>
          <w:bCs/>
          <w:sz w:val="20"/>
          <w:szCs w:val="20"/>
        </w:rPr>
      </w:pPr>
    </w:p>
    <w:p w14:paraId="44180C34" w14:textId="1FA96A77" w:rsidR="003C05E7" w:rsidRPr="003C05E7" w:rsidRDefault="003C05E7" w:rsidP="003C05E7">
      <w:pPr>
        <w:spacing w:after="0" w:line="240" w:lineRule="auto"/>
        <w:rPr>
          <w:rFonts w:ascii="Times New Roman" w:eastAsia="Times New Roman" w:hAnsi="Times New Roman" w:cs="Times New Roman"/>
          <w:sz w:val="20"/>
          <w:szCs w:val="20"/>
        </w:rPr>
      </w:pPr>
      <w:r w:rsidRPr="003C05E7">
        <w:rPr>
          <w:rFonts w:ascii="Times New Roman" w:hAnsi="Times New Roman" w:cs="Times New Roman"/>
          <w:b/>
          <w:bCs/>
          <w:sz w:val="20"/>
          <w:szCs w:val="20"/>
        </w:rPr>
        <w:t>Table 6: Excess Cancer Risks CNRS(</w:t>
      </w:r>
      <w:proofErr w:type="spellStart"/>
      <w:proofErr w:type="gramStart"/>
      <w:r w:rsidRPr="003C05E7">
        <w:rPr>
          <w:rFonts w:ascii="Times New Roman" w:hAnsi="Times New Roman" w:cs="Times New Roman"/>
          <w:b/>
          <w:bCs/>
          <w:sz w:val="20"/>
          <w:szCs w:val="20"/>
        </w:rPr>
        <w:t>i,p</w:t>
      </w:r>
      <w:proofErr w:type="gramEnd"/>
      <w:r w:rsidRPr="003C05E7">
        <w:rPr>
          <w:rFonts w:ascii="Times New Roman" w:hAnsi="Times New Roman" w:cs="Times New Roman"/>
          <w:b/>
          <w:bCs/>
          <w:sz w:val="20"/>
          <w:szCs w:val="20"/>
        </w:rPr>
        <w:t>,t</w:t>
      </w:r>
      <w:proofErr w:type="spellEnd"/>
      <w:r w:rsidRPr="003C05E7">
        <w:rPr>
          <w:rFonts w:ascii="Times New Roman" w:hAnsi="Times New Roman" w:cs="Times New Roman"/>
          <w:b/>
          <w:bCs/>
          <w:sz w:val="20"/>
          <w:szCs w:val="20"/>
        </w:rPr>
        <w:t xml:space="preserve">) for Individual Radionuclides and Pathways at t = 0 </w:t>
      </w:r>
      <w:r w:rsidR="0077072A" w:rsidRPr="003C05E7">
        <w:rPr>
          <w:rFonts w:ascii="Times New Roman" w:hAnsi="Times New Roman" w:cs="Times New Roman"/>
          <w:b/>
          <w:bCs/>
          <w:sz w:val="20"/>
          <w:szCs w:val="20"/>
        </w:rPr>
        <w:t>Years</w:t>
      </w:r>
    </w:p>
    <w:tbl>
      <w:tblPr>
        <w:tblStyle w:val="ListTable6Colorful"/>
        <w:tblW w:w="5000" w:type="pct"/>
        <w:tblLook w:val="0620" w:firstRow="1" w:lastRow="0" w:firstColumn="0" w:lastColumn="0" w:noHBand="1" w:noVBand="1"/>
      </w:tblPr>
      <w:tblGrid>
        <w:gridCol w:w="813"/>
        <w:gridCol w:w="989"/>
        <w:gridCol w:w="1017"/>
        <w:gridCol w:w="1052"/>
        <w:gridCol w:w="1080"/>
        <w:gridCol w:w="990"/>
        <w:gridCol w:w="989"/>
        <w:gridCol w:w="1170"/>
        <w:gridCol w:w="1262"/>
      </w:tblGrid>
      <w:tr w:rsidR="003C05E7" w:rsidRPr="002E79FB" w14:paraId="51BA6EF3" w14:textId="77777777" w:rsidTr="002E79FB">
        <w:trPr>
          <w:cnfStyle w:val="100000000000" w:firstRow="1" w:lastRow="0" w:firstColumn="0" w:lastColumn="0" w:oddVBand="0" w:evenVBand="0" w:oddHBand="0" w:evenHBand="0" w:firstRowFirstColumn="0" w:firstRowLastColumn="0" w:lastRowFirstColumn="0" w:lastRowLastColumn="0"/>
          <w:trHeight w:val="230"/>
        </w:trPr>
        <w:tc>
          <w:tcPr>
            <w:tcW w:w="434" w:type="pct"/>
            <w:tcBorders>
              <w:top w:val="single" w:sz="4" w:space="0" w:color="000000" w:themeColor="text1"/>
              <w:left w:val="nil"/>
              <w:right w:val="nil"/>
            </w:tcBorders>
            <w:hideMark/>
          </w:tcPr>
          <w:p w14:paraId="69991196"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Nuclide</w:t>
            </w:r>
          </w:p>
        </w:tc>
        <w:tc>
          <w:tcPr>
            <w:tcW w:w="528" w:type="pct"/>
            <w:tcBorders>
              <w:top w:val="single" w:sz="4" w:space="0" w:color="000000" w:themeColor="text1"/>
              <w:left w:val="nil"/>
              <w:right w:val="nil"/>
            </w:tcBorders>
            <w:hideMark/>
          </w:tcPr>
          <w:p w14:paraId="30449A82"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Ground</w:t>
            </w:r>
          </w:p>
        </w:tc>
        <w:tc>
          <w:tcPr>
            <w:tcW w:w="543" w:type="pct"/>
            <w:tcBorders>
              <w:top w:val="single" w:sz="4" w:space="0" w:color="000000" w:themeColor="text1"/>
              <w:left w:val="nil"/>
              <w:right w:val="nil"/>
            </w:tcBorders>
            <w:hideMark/>
          </w:tcPr>
          <w:p w14:paraId="52E84019"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Inhalation</w:t>
            </w:r>
          </w:p>
        </w:tc>
        <w:tc>
          <w:tcPr>
            <w:tcW w:w="562" w:type="pct"/>
            <w:tcBorders>
              <w:top w:val="single" w:sz="4" w:space="0" w:color="000000" w:themeColor="text1"/>
              <w:left w:val="nil"/>
              <w:right w:val="nil"/>
            </w:tcBorders>
            <w:hideMark/>
          </w:tcPr>
          <w:p w14:paraId="32EFD4E0"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Radon</w:t>
            </w:r>
          </w:p>
        </w:tc>
        <w:tc>
          <w:tcPr>
            <w:tcW w:w="577" w:type="pct"/>
            <w:tcBorders>
              <w:top w:val="single" w:sz="4" w:space="0" w:color="000000" w:themeColor="text1"/>
              <w:left w:val="nil"/>
              <w:right w:val="nil"/>
            </w:tcBorders>
            <w:hideMark/>
          </w:tcPr>
          <w:p w14:paraId="35C66E64"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Plant</w:t>
            </w:r>
          </w:p>
        </w:tc>
        <w:tc>
          <w:tcPr>
            <w:tcW w:w="529" w:type="pct"/>
            <w:tcBorders>
              <w:top w:val="single" w:sz="4" w:space="0" w:color="000000" w:themeColor="text1"/>
              <w:left w:val="nil"/>
              <w:right w:val="nil"/>
            </w:tcBorders>
            <w:hideMark/>
          </w:tcPr>
          <w:p w14:paraId="1885C414"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Meat</w:t>
            </w:r>
          </w:p>
        </w:tc>
        <w:tc>
          <w:tcPr>
            <w:tcW w:w="528" w:type="pct"/>
            <w:tcBorders>
              <w:top w:val="single" w:sz="4" w:space="0" w:color="000000" w:themeColor="text1"/>
              <w:left w:val="nil"/>
              <w:right w:val="nil"/>
            </w:tcBorders>
            <w:hideMark/>
          </w:tcPr>
          <w:p w14:paraId="5EBFED42"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Milk</w:t>
            </w:r>
          </w:p>
        </w:tc>
        <w:tc>
          <w:tcPr>
            <w:tcW w:w="625" w:type="pct"/>
            <w:tcBorders>
              <w:top w:val="single" w:sz="4" w:space="0" w:color="000000" w:themeColor="text1"/>
              <w:left w:val="nil"/>
              <w:right w:val="nil"/>
            </w:tcBorders>
            <w:hideMark/>
          </w:tcPr>
          <w:p w14:paraId="03FDED73"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Soil</w:t>
            </w:r>
          </w:p>
        </w:tc>
        <w:tc>
          <w:tcPr>
            <w:tcW w:w="674" w:type="pct"/>
            <w:tcBorders>
              <w:top w:val="single" w:sz="4" w:space="0" w:color="000000" w:themeColor="text1"/>
              <w:left w:val="nil"/>
              <w:right w:val="nil"/>
            </w:tcBorders>
            <w:hideMark/>
          </w:tcPr>
          <w:p w14:paraId="3F8AFA8B"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val="0"/>
                <w:color w:val="000000"/>
                <w:sz w:val="18"/>
                <w:szCs w:val="18"/>
              </w:rPr>
              <w:t>All Pathways</w:t>
            </w:r>
          </w:p>
        </w:tc>
      </w:tr>
      <w:tr w:rsidR="003C05E7" w:rsidRPr="002E79FB" w14:paraId="5B8A93AF" w14:textId="77777777" w:rsidTr="002E79FB">
        <w:trPr>
          <w:trHeight w:val="230"/>
        </w:trPr>
        <w:tc>
          <w:tcPr>
            <w:tcW w:w="434" w:type="pct"/>
            <w:tcBorders>
              <w:top w:val="nil"/>
              <w:left w:val="nil"/>
              <w:bottom w:val="nil"/>
              <w:right w:val="nil"/>
            </w:tcBorders>
            <w:hideMark/>
          </w:tcPr>
          <w:p w14:paraId="783F52EA"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⁴⁰K</w:t>
            </w:r>
          </w:p>
        </w:tc>
        <w:tc>
          <w:tcPr>
            <w:tcW w:w="528" w:type="pct"/>
            <w:tcBorders>
              <w:top w:val="nil"/>
              <w:left w:val="nil"/>
              <w:bottom w:val="nil"/>
              <w:right w:val="nil"/>
            </w:tcBorders>
            <w:hideMark/>
          </w:tcPr>
          <w:p w14:paraId="305CD7C4"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3.583E-04</w:t>
            </w:r>
          </w:p>
        </w:tc>
        <w:tc>
          <w:tcPr>
            <w:tcW w:w="543" w:type="pct"/>
            <w:tcBorders>
              <w:top w:val="nil"/>
              <w:left w:val="nil"/>
              <w:bottom w:val="nil"/>
              <w:right w:val="nil"/>
            </w:tcBorders>
            <w:hideMark/>
          </w:tcPr>
          <w:p w14:paraId="74CE3E4F"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8.101E-09</w:t>
            </w:r>
          </w:p>
        </w:tc>
        <w:tc>
          <w:tcPr>
            <w:tcW w:w="562" w:type="pct"/>
            <w:tcBorders>
              <w:top w:val="nil"/>
              <w:left w:val="nil"/>
              <w:bottom w:val="nil"/>
              <w:right w:val="nil"/>
            </w:tcBorders>
            <w:hideMark/>
          </w:tcPr>
          <w:p w14:paraId="2739612D"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0.000E+00</w:t>
            </w:r>
          </w:p>
        </w:tc>
        <w:tc>
          <w:tcPr>
            <w:tcW w:w="577" w:type="pct"/>
            <w:tcBorders>
              <w:top w:val="nil"/>
              <w:left w:val="nil"/>
              <w:bottom w:val="nil"/>
              <w:right w:val="nil"/>
            </w:tcBorders>
            <w:hideMark/>
          </w:tcPr>
          <w:p w14:paraId="5F51B437"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6.566E-04</w:t>
            </w:r>
          </w:p>
        </w:tc>
        <w:tc>
          <w:tcPr>
            <w:tcW w:w="529" w:type="pct"/>
            <w:tcBorders>
              <w:top w:val="nil"/>
              <w:left w:val="nil"/>
              <w:bottom w:val="nil"/>
              <w:right w:val="nil"/>
            </w:tcBorders>
            <w:hideMark/>
          </w:tcPr>
          <w:p w14:paraId="5C7B9D03"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6.620E-04</w:t>
            </w:r>
          </w:p>
        </w:tc>
        <w:tc>
          <w:tcPr>
            <w:tcW w:w="528" w:type="pct"/>
            <w:tcBorders>
              <w:top w:val="nil"/>
              <w:left w:val="nil"/>
              <w:bottom w:val="nil"/>
              <w:right w:val="nil"/>
            </w:tcBorders>
            <w:hideMark/>
          </w:tcPr>
          <w:p w14:paraId="0D435FAC"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2.752E-04</w:t>
            </w:r>
          </w:p>
        </w:tc>
        <w:tc>
          <w:tcPr>
            <w:tcW w:w="625" w:type="pct"/>
            <w:tcBorders>
              <w:top w:val="nil"/>
              <w:left w:val="nil"/>
              <w:bottom w:val="nil"/>
              <w:right w:val="nil"/>
            </w:tcBorders>
            <w:hideMark/>
          </w:tcPr>
          <w:p w14:paraId="6CBA0C51"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7.439E-07</w:t>
            </w:r>
          </w:p>
        </w:tc>
        <w:tc>
          <w:tcPr>
            <w:tcW w:w="674" w:type="pct"/>
            <w:tcBorders>
              <w:top w:val="nil"/>
              <w:left w:val="nil"/>
              <w:bottom w:val="nil"/>
              <w:right w:val="nil"/>
            </w:tcBorders>
            <w:hideMark/>
          </w:tcPr>
          <w:p w14:paraId="38778087"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1.952E-03</w:t>
            </w:r>
          </w:p>
        </w:tc>
      </w:tr>
      <w:tr w:rsidR="003C05E7" w:rsidRPr="002E79FB" w14:paraId="2304A982" w14:textId="77777777" w:rsidTr="002E79FB">
        <w:trPr>
          <w:trHeight w:val="230"/>
        </w:trPr>
        <w:tc>
          <w:tcPr>
            <w:tcW w:w="434" w:type="pct"/>
            <w:tcBorders>
              <w:top w:val="nil"/>
              <w:left w:val="nil"/>
              <w:bottom w:val="nil"/>
              <w:right w:val="nil"/>
            </w:tcBorders>
            <w:hideMark/>
          </w:tcPr>
          <w:p w14:paraId="6E5075D7"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²²</w:t>
            </w:r>
            <w:r w:rsidRPr="002E79FB">
              <w:rPr>
                <w:rFonts w:ascii="Times New Roman" w:eastAsia="MS Gothic" w:hAnsi="Times New Roman" w:cs="Times New Roman"/>
                <w:color w:val="000000"/>
                <w:sz w:val="18"/>
                <w:szCs w:val="18"/>
              </w:rPr>
              <w:t>⁶</w:t>
            </w:r>
            <w:r w:rsidRPr="002E79FB">
              <w:rPr>
                <w:rFonts w:ascii="Times New Roman" w:hAnsi="Times New Roman" w:cs="Times New Roman"/>
                <w:color w:val="000000"/>
                <w:sz w:val="18"/>
                <w:szCs w:val="18"/>
              </w:rPr>
              <w:t>Ra</w:t>
            </w:r>
          </w:p>
        </w:tc>
        <w:tc>
          <w:tcPr>
            <w:tcW w:w="528" w:type="pct"/>
            <w:tcBorders>
              <w:top w:val="nil"/>
              <w:left w:val="nil"/>
              <w:bottom w:val="nil"/>
              <w:right w:val="nil"/>
            </w:tcBorders>
            <w:hideMark/>
          </w:tcPr>
          <w:p w14:paraId="1FC5AE12"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1.042E-04</w:t>
            </w:r>
          </w:p>
        </w:tc>
        <w:tc>
          <w:tcPr>
            <w:tcW w:w="543" w:type="pct"/>
            <w:tcBorders>
              <w:top w:val="nil"/>
              <w:left w:val="nil"/>
              <w:bottom w:val="nil"/>
              <w:right w:val="nil"/>
            </w:tcBorders>
            <w:hideMark/>
          </w:tcPr>
          <w:p w14:paraId="7DB3B0D7"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3.948E-08</w:t>
            </w:r>
          </w:p>
        </w:tc>
        <w:tc>
          <w:tcPr>
            <w:tcW w:w="562" w:type="pct"/>
            <w:tcBorders>
              <w:top w:val="nil"/>
              <w:left w:val="nil"/>
              <w:bottom w:val="nil"/>
              <w:right w:val="nil"/>
            </w:tcBorders>
            <w:hideMark/>
          </w:tcPr>
          <w:p w14:paraId="7194332B"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6.279E-04</w:t>
            </w:r>
          </w:p>
        </w:tc>
        <w:tc>
          <w:tcPr>
            <w:tcW w:w="577" w:type="pct"/>
            <w:tcBorders>
              <w:top w:val="nil"/>
              <w:left w:val="nil"/>
              <w:bottom w:val="nil"/>
              <w:right w:val="nil"/>
            </w:tcBorders>
            <w:hideMark/>
          </w:tcPr>
          <w:p w14:paraId="5D7BFD9E"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5.809E-05</w:t>
            </w:r>
          </w:p>
        </w:tc>
        <w:tc>
          <w:tcPr>
            <w:tcW w:w="529" w:type="pct"/>
            <w:tcBorders>
              <w:top w:val="nil"/>
              <w:left w:val="nil"/>
              <w:bottom w:val="nil"/>
              <w:right w:val="nil"/>
            </w:tcBorders>
            <w:hideMark/>
          </w:tcPr>
          <w:p w14:paraId="78BD801E"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3.633E-06</w:t>
            </w:r>
          </w:p>
        </w:tc>
        <w:tc>
          <w:tcPr>
            <w:tcW w:w="528" w:type="pct"/>
            <w:tcBorders>
              <w:top w:val="nil"/>
              <w:left w:val="nil"/>
              <w:bottom w:val="nil"/>
              <w:right w:val="nil"/>
            </w:tcBorders>
            <w:hideMark/>
          </w:tcPr>
          <w:p w14:paraId="18E90A6B"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3.334E-06</w:t>
            </w:r>
          </w:p>
        </w:tc>
        <w:tc>
          <w:tcPr>
            <w:tcW w:w="625" w:type="pct"/>
            <w:tcBorders>
              <w:top w:val="nil"/>
              <w:left w:val="nil"/>
              <w:bottom w:val="nil"/>
              <w:right w:val="nil"/>
            </w:tcBorders>
            <w:hideMark/>
          </w:tcPr>
          <w:p w14:paraId="3F4166BD"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1.036E-06</w:t>
            </w:r>
          </w:p>
        </w:tc>
        <w:tc>
          <w:tcPr>
            <w:tcW w:w="674" w:type="pct"/>
            <w:tcBorders>
              <w:top w:val="nil"/>
              <w:left w:val="nil"/>
              <w:bottom w:val="nil"/>
              <w:right w:val="nil"/>
            </w:tcBorders>
            <w:hideMark/>
          </w:tcPr>
          <w:p w14:paraId="4B0F3F85"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7.983E-04</w:t>
            </w:r>
          </w:p>
        </w:tc>
      </w:tr>
      <w:tr w:rsidR="003C05E7" w:rsidRPr="002E79FB" w14:paraId="04A72050" w14:textId="77777777" w:rsidTr="002E79FB">
        <w:trPr>
          <w:trHeight w:val="230"/>
        </w:trPr>
        <w:tc>
          <w:tcPr>
            <w:tcW w:w="434" w:type="pct"/>
            <w:tcBorders>
              <w:top w:val="nil"/>
              <w:left w:val="nil"/>
              <w:bottom w:val="nil"/>
              <w:right w:val="nil"/>
            </w:tcBorders>
            <w:hideMark/>
          </w:tcPr>
          <w:p w14:paraId="04E7B20D"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²³²Th</w:t>
            </w:r>
          </w:p>
        </w:tc>
        <w:tc>
          <w:tcPr>
            <w:tcW w:w="528" w:type="pct"/>
            <w:tcBorders>
              <w:top w:val="nil"/>
              <w:left w:val="nil"/>
              <w:bottom w:val="nil"/>
              <w:right w:val="nil"/>
            </w:tcBorders>
            <w:hideMark/>
          </w:tcPr>
          <w:p w14:paraId="47A65DAF"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2.866E-04</w:t>
            </w:r>
          </w:p>
        </w:tc>
        <w:tc>
          <w:tcPr>
            <w:tcW w:w="543" w:type="pct"/>
            <w:tcBorders>
              <w:top w:val="nil"/>
              <w:left w:val="nil"/>
              <w:bottom w:val="nil"/>
              <w:right w:val="nil"/>
            </w:tcBorders>
            <w:hideMark/>
          </w:tcPr>
          <w:p w14:paraId="5464EEEB"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5.132E-07</w:t>
            </w:r>
          </w:p>
        </w:tc>
        <w:tc>
          <w:tcPr>
            <w:tcW w:w="562" w:type="pct"/>
            <w:tcBorders>
              <w:top w:val="nil"/>
              <w:left w:val="nil"/>
              <w:bottom w:val="nil"/>
              <w:right w:val="nil"/>
            </w:tcBorders>
            <w:hideMark/>
          </w:tcPr>
          <w:p w14:paraId="3F2EA03D"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1.329E-05</w:t>
            </w:r>
          </w:p>
        </w:tc>
        <w:tc>
          <w:tcPr>
            <w:tcW w:w="577" w:type="pct"/>
            <w:tcBorders>
              <w:top w:val="nil"/>
              <w:left w:val="nil"/>
              <w:bottom w:val="nil"/>
              <w:right w:val="nil"/>
            </w:tcBorders>
            <w:hideMark/>
          </w:tcPr>
          <w:p w14:paraId="7AC60917"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2.245E-04</w:t>
            </w:r>
          </w:p>
        </w:tc>
        <w:tc>
          <w:tcPr>
            <w:tcW w:w="529" w:type="pct"/>
            <w:tcBorders>
              <w:top w:val="nil"/>
              <w:left w:val="nil"/>
              <w:bottom w:val="nil"/>
              <w:right w:val="nil"/>
            </w:tcBorders>
            <w:hideMark/>
          </w:tcPr>
          <w:p w14:paraId="1A57BBC2"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1.284E-05</w:t>
            </w:r>
          </w:p>
        </w:tc>
        <w:tc>
          <w:tcPr>
            <w:tcW w:w="528" w:type="pct"/>
            <w:tcBorders>
              <w:top w:val="nil"/>
              <w:left w:val="nil"/>
              <w:bottom w:val="nil"/>
              <w:right w:val="nil"/>
            </w:tcBorders>
            <w:hideMark/>
          </w:tcPr>
          <w:p w14:paraId="32CAB374"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1.566E-09</w:t>
            </w:r>
          </w:p>
        </w:tc>
        <w:tc>
          <w:tcPr>
            <w:tcW w:w="625" w:type="pct"/>
            <w:tcBorders>
              <w:top w:val="nil"/>
              <w:left w:val="nil"/>
              <w:bottom w:val="nil"/>
              <w:right w:val="nil"/>
            </w:tcBorders>
            <w:hideMark/>
          </w:tcPr>
          <w:p w14:paraId="255348E7"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2.632E-06</w:t>
            </w:r>
          </w:p>
        </w:tc>
        <w:tc>
          <w:tcPr>
            <w:tcW w:w="674" w:type="pct"/>
            <w:tcBorders>
              <w:top w:val="nil"/>
              <w:left w:val="nil"/>
              <w:bottom w:val="nil"/>
              <w:right w:val="nil"/>
            </w:tcBorders>
            <w:hideMark/>
          </w:tcPr>
          <w:p w14:paraId="07207EA4"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color w:val="000000"/>
                <w:sz w:val="18"/>
                <w:szCs w:val="18"/>
              </w:rPr>
              <w:t>5.560E-04</w:t>
            </w:r>
          </w:p>
        </w:tc>
      </w:tr>
      <w:tr w:rsidR="003C05E7" w:rsidRPr="002E79FB" w14:paraId="7A00EAA2" w14:textId="77777777" w:rsidTr="002E79FB">
        <w:trPr>
          <w:trHeight w:val="230"/>
        </w:trPr>
        <w:tc>
          <w:tcPr>
            <w:tcW w:w="434" w:type="pct"/>
            <w:tcBorders>
              <w:top w:val="nil"/>
              <w:left w:val="nil"/>
              <w:bottom w:val="single" w:sz="4" w:space="0" w:color="000000" w:themeColor="text1"/>
              <w:right w:val="nil"/>
            </w:tcBorders>
            <w:hideMark/>
          </w:tcPr>
          <w:p w14:paraId="1A8F6286"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Total</w:t>
            </w:r>
          </w:p>
        </w:tc>
        <w:tc>
          <w:tcPr>
            <w:tcW w:w="528" w:type="pct"/>
            <w:tcBorders>
              <w:top w:val="nil"/>
              <w:left w:val="nil"/>
              <w:bottom w:val="single" w:sz="4" w:space="0" w:color="000000" w:themeColor="text1"/>
              <w:right w:val="nil"/>
            </w:tcBorders>
            <w:hideMark/>
          </w:tcPr>
          <w:p w14:paraId="09C370C5"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7.491E-04</w:t>
            </w:r>
          </w:p>
        </w:tc>
        <w:tc>
          <w:tcPr>
            <w:tcW w:w="543" w:type="pct"/>
            <w:tcBorders>
              <w:top w:val="nil"/>
              <w:left w:val="nil"/>
              <w:bottom w:val="single" w:sz="4" w:space="0" w:color="000000" w:themeColor="text1"/>
              <w:right w:val="nil"/>
            </w:tcBorders>
            <w:hideMark/>
          </w:tcPr>
          <w:p w14:paraId="29C9F0FC"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5.608E-07</w:t>
            </w:r>
          </w:p>
        </w:tc>
        <w:tc>
          <w:tcPr>
            <w:tcW w:w="562" w:type="pct"/>
            <w:tcBorders>
              <w:top w:val="nil"/>
              <w:left w:val="nil"/>
              <w:bottom w:val="single" w:sz="4" w:space="0" w:color="000000" w:themeColor="text1"/>
              <w:right w:val="nil"/>
            </w:tcBorders>
            <w:hideMark/>
          </w:tcPr>
          <w:p w14:paraId="432ECEF6"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6.411E-04</w:t>
            </w:r>
          </w:p>
        </w:tc>
        <w:tc>
          <w:tcPr>
            <w:tcW w:w="577" w:type="pct"/>
            <w:tcBorders>
              <w:top w:val="nil"/>
              <w:left w:val="nil"/>
              <w:bottom w:val="single" w:sz="4" w:space="0" w:color="000000" w:themeColor="text1"/>
              <w:right w:val="nil"/>
            </w:tcBorders>
            <w:hideMark/>
          </w:tcPr>
          <w:p w14:paraId="75C67DEB"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9.385E-04</w:t>
            </w:r>
          </w:p>
        </w:tc>
        <w:tc>
          <w:tcPr>
            <w:tcW w:w="529" w:type="pct"/>
            <w:tcBorders>
              <w:top w:val="nil"/>
              <w:left w:val="nil"/>
              <w:bottom w:val="single" w:sz="4" w:space="0" w:color="000000" w:themeColor="text1"/>
              <w:right w:val="nil"/>
            </w:tcBorders>
            <w:hideMark/>
          </w:tcPr>
          <w:p w14:paraId="5AD9964F"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6.785E-04</w:t>
            </w:r>
          </w:p>
        </w:tc>
        <w:tc>
          <w:tcPr>
            <w:tcW w:w="528" w:type="pct"/>
            <w:tcBorders>
              <w:top w:val="nil"/>
              <w:left w:val="nil"/>
              <w:bottom w:val="single" w:sz="4" w:space="0" w:color="000000" w:themeColor="text1"/>
              <w:right w:val="nil"/>
            </w:tcBorders>
            <w:hideMark/>
          </w:tcPr>
          <w:p w14:paraId="68682AF1"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2.942E-04</w:t>
            </w:r>
          </w:p>
        </w:tc>
        <w:tc>
          <w:tcPr>
            <w:tcW w:w="625" w:type="pct"/>
            <w:tcBorders>
              <w:top w:val="nil"/>
              <w:left w:val="nil"/>
              <w:bottom w:val="single" w:sz="4" w:space="0" w:color="000000" w:themeColor="text1"/>
              <w:right w:val="nil"/>
            </w:tcBorders>
            <w:hideMark/>
          </w:tcPr>
          <w:p w14:paraId="7F443C02"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4.412E-06</w:t>
            </w:r>
          </w:p>
        </w:tc>
        <w:tc>
          <w:tcPr>
            <w:tcW w:w="674" w:type="pct"/>
            <w:tcBorders>
              <w:top w:val="nil"/>
              <w:left w:val="nil"/>
              <w:bottom w:val="single" w:sz="4" w:space="0" w:color="000000" w:themeColor="text1"/>
              <w:right w:val="nil"/>
            </w:tcBorders>
            <w:hideMark/>
          </w:tcPr>
          <w:p w14:paraId="77BF1E78" w14:textId="77777777" w:rsidR="003C05E7" w:rsidRPr="002E79FB" w:rsidRDefault="003C05E7" w:rsidP="003C05E7">
            <w:pPr>
              <w:rPr>
                <w:rFonts w:ascii="Times New Roman" w:hAnsi="Times New Roman" w:cs="Times New Roman"/>
                <w:color w:val="000000"/>
                <w:sz w:val="18"/>
                <w:szCs w:val="18"/>
              </w:rPr>
            </w:pPr>
            <w:r w:rsidRPr="002E79FB">
              <w:rPr>
                <w:rFonts w:ascii="Times New Roman" w:hAnsi="Times New Roman" w:cs="Times New Roman"/>
                <w:bCs/>
                <w:color w:val="000000"/>
                <w:sz w:val="18"/>
                <w:szCs w:val="18"/>
              </w:rPr>
              <w:t>3.306E-03</w:t>
            </w:r>
          </w:p>
        </w:tc>
      </w:tr>
    </w:tbl>
    <w:p w14:paraId="10365199" w14:textId="3483E22D" w:rsidR="003C05E7" w:rsidRDefault="003C05E7" w:rsidP="0077072A">
      <w:pPr>
        <w:spacing w:after="0" w:line="240" w:lineRule="auto"/>
        <w:jc w:val="both"/>
        <w:rPr>
          <w:rFonts w:ascii="Times New Roman" w:hAnsi="Times New Roman" w:cs="Times New Roman"/>
          <w:i/>
          <w:iCs/>
          <w:sz w:val="20"/>
          <w:szCs w:val="20"/>
        </w:rPr>
      </w:pPr>
      <w:r w:rsidRPr="003C05E7">
        <w:rPr>
          <w:rFonts w:ascii="Times New Roman" w:hAnsi="Times New Roman" w:cs="Times New Roman"/>
          <w:i/>
          <w:iCs/>
          <w:sz w:val="20"/>
          <w:szCs w:val="20"/>
        </w:rPr>
        <w:t>Note</w:t>
      </w:r>
      <w:r w:rsidR="0077072A">
        <w:rPr>
          <w:rFonts w:ascii="Times New Roman" w:hAnsi="Times New Roman" w:cs="Times New Roman"/>
          <w:i/>
          <w:iCs/>
          <w:sz w:val="20"/>
          <w:szCs w:val="20"/>
        </w:rPr>
        <w:t>:</w:t>
      </w:r>
      <w:r w:rsidRPr="003C05E7">
        <w:rPr>
          <w:rFonts w:ascii="Times New Roman" w:hAnsi="Times New Roman" w:cs="Times New Roman"/>
          <w:i/>
          <w:iCs/>
          <w:sz w:val="20"/>
          <w:szCs w:val="20"/>
        </w:rPr>
        <w:t xml:space="preserve"> WHO </w:t>
      </w:r>
      <w:r w:rsidR="0077072A" w:rsidRPr="003C05E7">
        <w:rPr>
          <w:rFonts w:ascii="Times New Roman" w:hAnsi="Times New Roman" w:cs="Times New Roman"/>
          <w:i/>
          <w:iCs/>
          <w:sz w:val="20"/>
          <w:szCs w:val="20"/>
        </w:rPr>
        <w:t xml:space="preserve">Recommended Limit </w:t>
      </w:r>
      <w:r w:rsidRPr="003C05E7">
        <w:rPr>
          <w:rFonts w:ascii="Times New Roman" w:hAnsi="Times New Roman" w:cs="Times New Roman"/>
          <w:i/>
          <w:iCs/>
          <w:sz w:val="20"/>
          <w:szCs w:val="20"/>
        </w:rPr>
        <w:t xml:space="preserve">for </w:t>
      </w:r>
      <w:r w:rsidR="0077072A" w:rsidRPr="003C05E7">
        <w:rPr>
          <w:rFonts w:ascii="Times New Roman" w:hAnsi="Times New Roman" w:cs="Times New Roman"/>
          <w:i/>
          <w:iCs/>
          <w:sz w:val="20"/>
          <w:szCs w:val="20"/>
        </w:rPr>
        <w:t xml:space="preserve">Excess Cancer Risk </w:t>
      </w:r>
      <w:r w:rsidRPr="003C05E7">
        <w:rPr>
          <w:rFonts w:ascii="Times New Roman" w:hAnsi="Times New Roman" w:cs="Times New Roman"/>
          <w:i/>
          <w:iCs/>
          <w:sz w:val="20"/>
          <w:szCs w:val="20"/>
        </w:rPr>
        <w:t>= 3.00 × 10</w:t>
      </w:r>
      <w:r w:rsidRPr="003C05E7">
        <w:rPr>
          <w:rFonts w:ascii="Times New Roman" w:eastAsia="MS Gothic" w:hAnsi="Times New Roman" w:cs="Times New Roman"/>
          <w:i/>
          <w:iCs/>
          <w:sz w:val="20"/>
          <w:szCs w:val="20"/>
        </w:rPr>
        <w:t>⁻⁴</w:t>
      </w:r>
      <w:r w:rsidRPr="003C05E7">
        <w:rPr>
          <w:rFonts w:ascii="Times New Roman" w:hAnsi="Times New Roman" w:cs="Times New Roman"/>
          <w:i/>
          <w:iCs/>
          <w:sz w:val="20"/>
          <w:szCs w:val="20"/>
        </w:rPr>
        <w:t xml:space="preserve">. Total </w:t>
      </w:r>
      <w:r w:rsidR="0077072A" w:rsidRPr="003C05E7">
        <w:rPr>
          <w:rFonts w:ascii="Times New Roman" w:hAnsi="Times New Roman" w:cs="Times New Roman"/>
          <w:i/>
          <w:iCs/>
          <w:sz w:val="20"/>
          <w:szCs w:val="20"/>
        </w:rPr>
        <w:t xml:space="preserve">Risk </w:t>
      </w:r>
      <w:r w:rsidRPr="003C05E7">
        <w:rPr>
          <w:rFonts w:ascii="Times New Roman" w:hAnsi="Times New Roman" w:cs="Times New Roman"/>
          <w:i/>
          <w:iCs/>
          <w:sz w:val="20"/>
          <w:szCs w:val="20"/>
        </w:rPr>
        <w:t xml:space="preserve">= 3.306E-03 (11.02 × WHO </w:t>
      </w:r>
      <w:r w:rsidR="0077072A" w:rsidRPr="003C05E7">
        <w:rPr>
          <w:rFonts w:ascii="Times New Roman" w:hAnsi="Times New Roman" w:cs="Times New Roman"/>
          <w:i/>
          <w:iCs/>
          <w:sz w:val="20"/>
          <w:szCs w:val="20"/>
        </w:rPr>
        <w:t>Limit</w:t>
      </w:r>
      <w:r w:rsidRPr="003C05E7">
        <w:rPr>
          <w:rFonts w:ascii="Times New Roman" w:hAnsi="Times New Roman" w:cs="Times New Roman"/>
          <w:i/>
          <w:iCs/>
          <w:sz w:val="20"/>
          <w:szCs w:val="20"/>
        </w:rPr>
        <w:t xml:space="preserve">). Radon </w:t>
      </w:r>
      <w:r w:rsidR="0077072A" w:rsidRPr="003C05E7">
        <w:rPr>
          <w:rFonts w:ascii="Times New Roman" w:hAnsi="Times New Roman" w:cs="Times New Roman"/>
          <w:i/>
          <w:iCs/>
          <w:sz w:val="20"/>
          <w:szCs w:val="20"/>
        </w:rPr>
        <w:t xml:space="preserve">Pathway Total </w:t>
      </w:r>
      <w:r w:rsidRPr="003C05E7">
        <w:rPr>
          <w:rFonts w:ascii="Times New Roman" w:hAnsi="Times New Roman" w:cs="Times New Roman"/>
          <w:i/>
          <w:iCs/>
          <w:sz w:val="20"/>
          <w:szCs w:val="20"/>
        </w:rPr>
        <w:t xml:space="preserve">(6.411E-04) </w:t>
      </w:r>
      <w:r w:rsidR="0077072A" w:rsidRPr="003C05E7">
        <w:rPr>
          <w:rFonts w:ascii="Times New Roman" w:hAnsi="Times New Roman" w:cs="Times New Roman"/>
          <w:i/>
          <w:iCs/>
          <w:sz w:val="20"/>
          <w:szCs w:val="20"/>
        </w:rPr>
        <w:t xml:space="preserve">Includes </w:t>
      </w:r>
      <w:r w:rsidRPr="003C05E7">
        <w:rPr>
          <w:rFonts w:ascii="Times New Roman" w:hAnsi="Times New Roman" w:cs="Times New Roman"/>
          <w:i/>
          <w:iCs/>
          <w:sz w:val="20"/>
          <w:szCs w:val="20"/>
        </w:rPr>
        <w:t xml:space="preserve">Rn-222, Po-218, Pb-214, Bi-214, and Rn-220 </w:t>
      </w:r>
      <w:r w:rsidR="0077072A" w:rsidRPr="003C05E7">
        <w:rPr>
          <w:rFonts w:ascii="Times New Roman" w:hAnsi="Times New Roman" w:cs="Times New Roman"/>
          <w:i/>
          <w:iCs/>
          <w:sz w:val="20"/>
          <w:szCs w:val="20"/>
        </w:rPr>
        <w:t>Chain Contributions</w:t>
      </w:r>
    </w:p>
    <w:p w14:paraId="42889D5B" w14:textId="77777777" w:rsidR="002E79FB" w:rsidRPr="002E79FB" w:rsidRDefault="002E79FB" w:rsidP="0077072A">
      <w:pPr>
        <w:spacing w:after="0" w:line="240" w:lineRule="auto"/>
        <w:jc w:val="both"/>
        <w:rPr>
          <w:rFonts w:ascii="Times New Roman" w:eastAsia="DengXian" w:hAnsi="Times New Roman" w:cs="Times New Roman"/>
          <w:sz w:val="20"/>
          <w:szCs w:val="20"/>
          <w:lang w:val="zh-CN" w:eastAsia="zh-CN"/>
        </w:rPr>
      </w:pPr>
    </w:p>
    <w:p w14:paraId="0EE52118" w14:textId="3FB73EA5" w:rsidR="003C05E7" w:rsidRPr="003C05E7" w:rsidRDefault="003C05E7" w:rsidP="003C05E7">
      <w:pPr>
        <w:spacing w:after="0" w:line="240" w:lineRule="auto"/>
        <w:jc w:val="center"/>
        <w:rPr>
          <w:rFonts w:ascii="Times New Roman" w:hAnsi="Times New Roman" w:cs="Times New Roman"/>
          <w:sz w:val="20"/>
          <w:szCs w:val="20"/>
        </w:rPr>
      </w:pPr>
      <w:r w:rsidRPr="003C05E7">
        <w:rPr>
          <w:rFonts w:ascii="Times New Roman" w:hAnsi="Times New Roman" w:cs="Times New Roman"/>
          <w:noProof/>
          <w:sz w:val="20"/>
          <w:szCs w:val="20"/>
        </w:rPr>
        <w:drawing>
          <wp:inline distT="0" distB="0" distL="0" distR="0" wp14:anchorId="35BCB88C" wp14:editId="372FCAAB">
            <wp:extent cx="4225925" cy="245745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l="3940" t="2274" r="4466" b="10736"/>
                    <a:stretch>
                      <a:fillRect/>
                    </a:stretch>
                  </pic:blipFill>
                  <pic:spPr bwMode="auto">
                    <a:xfrm>
                      <a:off x="0" y="0"/>
                      <a:ext cx="4225925" cy="2457450"/>
                    </a:xfrm>
                    <a:prstGeom prst="rect">
                      <a:avLst/>
                    </a:prstGeom>
                    <a:noFill/>
                    <a:ln>
                      <a:noFill/>
                    </a:ln>
                  </pic:spPr>
                </pic:pic>
              </a:graphicData>
            </a:graphic>
          </wp:inline>
        </w:drawing>
      </w:r>
    </w:p>
    <w:p w14:paraId="07334647" w14:textId="0FC7396D" w:rsidR="003C05E7" w:rsidRPr="003C05E7" w:rsidRDefault="003C05E7" w:rsidP="002E79FB">
      <w:pPr>
        <w:spacing w:after="0" w:line="240" w:lineRule="auto"/>
        <w:ind w:left="1260" w:right="1262"/>
        <w:jc w:val="both"/>
        <w:rPr>
          <w:rFonts w:ascii="Times New Roman" w:eastAsiaTheme="minorEastAsia" w:hAnsi="Times New Roman" w:cs="Times New Roman"/>
          <w:sz w:val="20"/>
          <w:szCs w:val="20"/>
        </w:rPr>
      </w:pPr>
      <w:r w:rsidRPr="003C05E7">
        <w:rPr>
          <w:rFonts w:ascii="Times New Roman" w:hAnsi="Times New Roman" w:cs="Times New Roman"/>
          <w:sz w:val="20"/>
          <w:szCs w:val="20"/>
        </w:rPr>
        <w:t xml:space="preserve">Figure 4: </w:t>
      </w:r>
      <w:r w:rsidR="00DE76B3" w:rsidRPr="003C05E7">
        <w:rPr>
          <w:rFonts w:ascii="Times New Roman" w:hAnsi="Times New Roman" w:cs="Times New Roman"/>
          <w:sz w:val="20"/>
          <w:szCs w:val="20"/>
        </w:rPr>
        <w:t>Excess Cancer Risk</w:t>
      </w:r>
      <w:r w:rsidRPr="003C05E7">
        <w:rPr>
          <w:rFonts w:ascii="Times New Roman" w:hAnsi="Times New Roman" w:cs="Times New Roman"/>
          <w:sz w:val="20"/>
          <w:szCs w:val="20"/>
        </w:rPr>
        <w:t xml:space="preserve">- All Nuclides Summed, All Pathways Summed — Total Excess </w:t>
      </w:r>
      <w:r w:rsidR="00DE76B3" w:rsidRPr="003C05E7">
        <w:rPr>
          <w:rFonts w:ascii="Times New Roman" w:hAnsi="Times New Roman" w:cs="Times New Roman"/>
          <w:sz w:val="20"/>
          <w:szCs w:val="20"/>
        </w:rPr>
        <w:t xml:space="preserve">Cancer Risk Over </w:t>
      </w:r>
      <w:r w:rsidRPr="003C05E7">
        <w:rPr>
          <w:rFonts w:ascii="Times New Roman" w:hAnsi="Times New Roman" w:cs="Times New Roman"/>
          <w:sz w:val="20"/>
          <w:szCs w:val="20"/>
        </w:rPr>
        <w:t xml:space="preserve">1000 </w:t>
      </w:r>
      <w:r w:rsidR="00DE76B3" w:rsidRPr="003C05E7">
        <w:rPr>
          <w:rFonts w:ascii="Times New Roman" w:hAnsi="Times New Roman" w:cs="Times New Roman"/>
          <w:sz w:val="20"/>
          <w:szCs w:val="20"/>
        </w:rPr>
        <w:t xml:space="preserve">Years </w:t>
      </w:r>
      <w:r w:rsidRPr="003C05E7">
        <w:rPr>
          <w:rFonts w:ascii="Times New Roman" w:hAnsi="Times New Roman" w:cs="Times New Roman"/>
          <w:sz w:val="20"/>
          <w:szCs w:val="20"/>
        </w:rPr>
        <w:t xml:space="preserve">at </w:t>
      </w:r>
      <w:proofErr w:type="spellStart"/>
      <w:r w:rsidRPr="003C05E7">
        <w:rPr>
          <w:rFonts w:ascii="Times New Roman" w:hAnsi="Times New Roman" w:cs="Times New Roman"/>
          <w:sz w:val="20"/>
          <w:szCs w:val="20"/>
        </w:rPr>
        <w:t>Hongyum</w:t>
      </w:r>
      <w:proofErr w:type="spellEnd"/>
      <w:r w:rsidRPr="003C05E7">
        <w:rPr>
          <w:rFonts w:ascii="Times New Roman" w:hAnsi="Times New Roman" w:cs="Times New Roman"/>
          <w:sz w:val="20"/>
          <w:szCs w:val="20"/>
        </w:rPr>
        <w:t xml:space="preserve"> Quarry. Peak Risk = 3.306E-03, which is 11.02 </w:t>
      </w:r>
      <w:r w:rsidR="00DE76B3" w:rsidRPr="003C05E7">
        <w:rPr>
          <w:rFonts w:ascii="Times New Roman" w:hAnsi="Times New Roman" w:cs="Times New Roman"/>
          <w:sz w:val="20"/>
          <w:szCs w:val="20"/>
        </w:rPr>
        <w:t xml:space="preserve">Times </w:t>
      </w:r>
      <w:r w:rsidRPr="003C05E7">
        <w:rPr>
          <w:rFonts w:ascii="Times New Roman" w:hAnsi="Times New Roman" w:cs="Times New Roman"/>
          <w:sz w:val="20"/>
          <w:szCs w:val="20"/>
        </w:rPr>
        <w:t>the WHO-Recommended Limit of 3.00 × 10</w:t>
      </w:r>
      <w:r w:rsidRPr="003C05E7">
        <w:rPr>
          <w:rFonts w:ascii="Times New Roman" w:eastAsia="MS Gothic" w:hAnsi="Times New Roman" w:cs="Times New Roman"/>
          <w:sz w:val="20"/>
          <w:szCs w:val="20"/>
        </w:rPr>
        <w:t>⁻⁴</w:t>
      </w:r>
      <w:r w:rsidRPr="003C05E7">
        <w:rPr>
          <w:rFonts w:ascii="Times New Roman" w:hAnsi="Times New Roman" w:cs="Times New Roman"/>
          <w:sz w:val="20"/>
          <w:szCs w:val="20"/>
        </w:rPr>
        <w:t xml:space="preserve">. K-40 </w:t>
      </w:r>
      <w:r w:rsidR="00DE76B3" w:rsidRPr="003C05E7">
        <w:rPr>
          <w:rFonts w:ascii="Times New Roman" w:hAnsi="Times New Roman" w:cs="Times New Roman"/>
          <w:sz w:val="20"/>
          <w:szCs w:val="20"/>
        </w:rPr>
        <w:t xml:space="preserve">Contributes </w:t>
      </w:r>
      <w:r w:rsidRPr="003C05E7">
        <w:rPr>
          <w:rFonts w:ascii="Times New Roman" w:hAnsi="Times New Roman" w:cs="Times New Roman"/>
          <w:sz w:val="20"/>
          <w:szCs w:val="20"/>
        </w:rPr>
        <w:t>59.04% of the Total Risk</w:t>
      </w:r>
    </w:p>
    <w:p w14:paraId="551BB9E1" w14:textId="77777777" w:rsidR="003C05E7" w:rsidRPr="003C05E7" w:rsidRDefault="003C05E7" w:rsidP="003C05E7">
      <w:pPr>
        <w:spacing w:after="0" w:line="240" w:lineRule="auto"/>
        <w:rPr>
          <w:rFonts w:ascii="Times New Roman" w:eastAsiaTheme="minorEastAsia" w:hAnsi="Times New Roman" w:cs="Times New Roman"/>
          <w:b/>
          <w:bCs/>
          <w:i/>
          <w:iCs/>
          <w:sz w:val="20"/>
          <w:szCs w:val="20"/>
        </w:rPr>
      </w:pPr>
    </w:p>
    <w:p w14:paraId="04CB78F1" w14:textId="77777777" w:rsidR="00820066" w:rsidRDefault="00820066" w:rsidP="003C05E7">
      <w:pPr>
        <w:spacing w:after="0" w:line="240" w:lineRule="auto"/>
        <w:rPr>
          <w:rFonts w:ascii="Times New Roman" w:hAnsi="Times New Roman" w:cs="Times New Roman"/>
          <w:b/>
          <w:bCs/>
          <w:sz w:val="20"/>
          <w:szCs w:val="20"/>
        </w:rPr>
        <w:sectPr w:rsidR="00820066" w:rsidSect="002A637C">
          <w:type w:val="continuous"/>
          <w:pgSz w:w="12242" w:h="15842" w:code="1"/>
          <w:pgMar w:top="1440" w:right="1440" w:bottom="1440" w:left="1440" w:header="709" w:footer="709" w:gutter="0"/>
          <w:cols w:space="284"/>
          <w:docGrid w:linePitch="360"/>
        </w:sectPr>
      </w:pPr>
    </w:p>
    <w:p w14:paraId="23B6CD66" w14:textId="70C30609" w:rsidR="003C05E7" w:rsidRPr="00E91C09" w:rsidRDefault="003C05E7" w:rsidP="003C05E7">
      <w:pPr>
        <w:spacing w:after="0" w:line="240" w:lineRule="auto"/>
        <w:rPr>
          <w:rFonts w:ascii="Times New Roman" w:eastAsia="Times New Roman" w:hAnsi="Times New Roman" w:cs="Times New Roman"/>
          <w:sz w:val="20"/>
          <w:szCs w:val="20"/>
        </w:rPr>
      </w:pPr>
      <w:r w:rsidRPr="00E91C09">
        <w:rPr>
          <w:rFonts w:ascii="Times New Roman" w:hAnsi="Times New Roman" w:cs="Times New Roman"/>
          <w:b/>
          <w:bCs/>
          <w:sz w:val="20"/>
          <w:szCs w:val="20"/>
        </w:rPr>
        <w:t>Remediation Scenario: 1.25 m Clean Soil Cover</w:t>
      </w:r>
    </w:p>
    <w:p w14:paraId="3DBBC821" w14:textId="77777777" w:rsidR="00820066" w:rsidRDefault="003C05E7" w:rsidP="003C05E7">
      <w:pPr>
        <w:spacing w:after="0" w:line="240" w:lineRule="auto"/>
        <w:jc w:val="both"/>
        <w:rPr>
          <w:rFonts w:ascii="Times New Roman" w:hAnsi="Times New Roman" w:cs="Times New Roman"/>
          <w:sz w:val="20"/>
          <w:szCs w:val="20"/>
        </w:rPr>
        <w:sectPr w:rsidR="00820066" w:rsidSect="00820066">
          <w:type w:val="continuous"/>
          <w:pgSz w:w="12242" w:h="15842" w:code="1"/>
          <w:pgMar w:top="1440" w:right="1440" w:bottom="1440" w:left="1440" w:header="709" w:footer="709" w:gutter="0"/>
          <w:cols w:num="2" w:space="288"/>
          <w:docGrid w:linePitch="360"/>
        </w:sectPr>
      </w:pPr>
      <w:r w:rsidRPr="003C05E7">
        <w:rPr>
          <w:rFonts w:ascii="Times New Roman" w:hAnsi="Times New Roman" w:cs="Times New Roman"/>
          <w:sz w:val="20"/>
          <w:szCs w:val="20"/>
        </w:rPr>
        <w:t>A remediation simulation was performed by introducing a clean soil cover of 1.25 m depth over the contaminated zone (all other parameters unchanged). The results are presented in Table 7 and illustrated in Figure 5. Under the 1.25 m cover scenario, the total dose at t = 0 was reduced from 7.878E-01 mSv/</w:t>
      </w:r>
      <w:proofErr w:type="spellStart"/>
      <w:r w:rsidRPr="003C05E7">
        <w:rPr>
          <w:rFonts w:ascii="Times New Roman" w:hAnsi="Times New Roman" w:cs="Times New Roman"/>
          <w:sz w:val="20"/>
          <w:szCs w:val="20"/>
        </w:rPr>
        <w:t>yr</w:t>
      </w:r>
      <w:proofErr w:type="spellEnd"/>
      <w:r w:rsidRPr="003C05E7">
        <w:rPr>
          <w:rFonts w:ascii="Times New Roman" w:hAnsi="Times New Roman" w:cs="Times New Roman"/>
          <w:sz w:val="20"/>
          <w:szCs w:val="20"/>
        </w:rPr>
        <w:t xml:space="preserve"> (no cover) to 1.367E-01 mSv/</w:t>
      </w:r>
      <w:proofErr w:type="spellStart"/>
      <w:r w:rsidRPr="003C05E7">
        <w:rPr>
          <w:rFonts w:ascii="Times New Roman" w:hAnsi="Times New Roman" w:cs="Times New Roman"/>
          <w:sz w:val="20"/>
          <w:szCs w:val="20"/>
        </w:rPr>
        <w:t>yr</w:t>
      </w:r>
      <w:proofErr w:type="spellEnd"/>
      <w:r w:rsidRPr="003C05E7">
        <w:rPr>
          <w:rFonts w:ascii="Times New Roman" w:hAnsi="Times New Roman" w:cs="Times New Roman"/>
          <w:sz w:val="20"/>
          <w:szCs w:val="20"/>
        </w:rPr>
        <w:t xml:space="preserve"> </w:t>
      </w:r>
      <w:r w:rsidRPr="003C05E7">
        <w:rPr>
          <w:rFonts w:ascii="Times New Roman" w:hAnsi="Times New Roman" w:cs="Times New Roman"/>
          <w:sz w:val="20"/>
          <w:szCs w:val="20"/>
        </w:rPr>
        <w:t>— a reduction of approximately 82.6%. The dose remained well below the BRDL throughout the simulation: 1.367E-01 mSv/</w:t>
      </w:r>
      <w:proofErr w:type="spellStart"/>
      <w:r w:rsidRPr="003C05E7">
        <w:rPr>
          <w:rFonts w:ascii="Times New Roman" w:hAnsi="Times New Roman" w:cs="Times New Roman"/>
          <w:sz w:val="20"/>
          <w:szCs w:val="20"/>
        </w:rPr>
        <w:t>yr</w:t>
      </w:r>
      <w:proofErr w:type="spellEnd"/>
      <w:r w:rsidRPr="003C05E7">
        <w:rPr>
          <w:rFonts w:ascii="Times New Roman" w:hAnsi="Times New Roman" w:cs="Times New Roman"/>
          <w:sz w:val="20"/>
          <w:szCs w:val="20"/>
        </w:rPr>
        <w:t xml:space="preserve"> at t = 0–1 year, 1.375E-01 mSv/</w:t>
      </w:r>
      <w:proofErr w:type="spellStart"/>
      <w:r w:rsidRPr="003C05E7">
        <w:rPr>
          <w:rFonts w:ascii="Times New Roman" w:hAnsi="Times New Roman" w:cs="Times New Roman"/>
          <w:sz w:val="20"/>
          <w:szCs w:val="20"/>
        </w:rPr>
        <w:t>yr</w:t>
      </w:r>
      <w:proofErr w:type="spellEnd"/>
      <w:r w:rsidRPr="003C05E7">
        <w:rPr>
          <w:rFonts w:ascii="Times New Roman" w:hAnsi="Times New Roman" w:cs="Times New Roman"/>
          <w:sz w:val="20"/>
          <w:szCs w:val="20"/>
        </w:rPr>
        <w:t xml:space="preserve"> at t = 10 years, 1.391E-01 mSv/</w:t>
      </w:r>
      <w:proofErr w:type="spellStart"/>
      <w:r w:rsidRPr="003C05E7">
        <w:rPr>
          <w:rFonts w:ascii="Times New Roman" w:hAnsi="Times New Roman" w:cs="Times New Roman"/>
          <w:sz w:val="20"/>
          <w:szCs w:val="20"/>
        </w:rPr>
        <w:t>yr</w:t>
      </w:r>
      <w:proofErr w:type="spellEnd"/>
      <w:r w:rsidRPr="003C05E7">
        <w:rPr>
          <w:rFonts w:ascii="Times New Roman" w:hAnsi="Times New Roman" w:cs="Times New Roman"/>
          <w:sz w:val="20"/>
          <w:szCs w:val="20"/>
        </w:rPr>
        <w:t xml:space="preserve"> at t = 30 years, 1.448E-01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at t = 100 years, and 1.544E-01 mSv/</w:t>
      </w:r>
      <w:proofErr w:type="spellStart"/>
      <w:r w:rsidRPr="003C05E7">
        <w:rPr>
          <w:rFonts w:ascii="Times New Roman" w:hAnsi="Times New Roman" w:cs="Times New Roman"/>
          <w:sz w:val="20"/>
          <w:szCs w:val="20"/>
        </w:rPr>
        <w:t>yr</w:t>
      </w:r>
      <w:proofErr w:type="spellEnd"/>
      <w:r w:rsidRPr="003C05E7">
        <w:rPr>
          <w:rFonts w:ascii="Times New Roman" w:hAnsi="Times New Roman" w:cs="Times New Roman"/>
          <w:sz w:val="20"/>
          <w:szCs w:val="20"/>
        </w:rPr>
        <w:t xml:space="preserve"> at t = 300 years.</w:t>
      </w:r>
    </w:p>
    <w:p w14:paraId="10655F21"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686DC57D" w14:textId="3F7ED631" w:rsidR="00077D71" w:rsidRDefault="00077D71" w:rsidP="003C05E7">
      <w:pPr>
        <w:spacing w:after="0" w:line="240" w:lineRule="auto"/>
        <w:jc w:val="both"/>
        <w:rPr>
          <w:rFonts w:ascii="Times New Roman" w:hAnsi="Times New Roman" w:cs="Times New Roman"/>
          <w:b/>
          <w:bCs/>
          <w:sz w:val="20"/>
          <w:szCs w:val="20"/>
        </w:rPr>
      </w:pPr>
    </w:p>
    <w:p w14:paraId="7FEBE7FE" w14:textId="77777777" w:rsidR="00077D71" w:rsidRDefault="00077D71" w:rsidP="003C05E7">
      <w:pPr>
        <w:spacing w:after="0" w:line="240" w:lineRule="auto"/>
        <w:jc w:val="both"/>
        <w:rPr>
          <w:rFonts w:ascii="Times New Roman" w:hAnsi="Times New Roman" w:cs="Times New Roman"/>
          <w:b/>
          <w:bCs/>
          <w:sz w:val="20"/>
          <w:szCs w:val="20"/>
        </w:rPr>
      </w:pPr>
    </w:p>
    <w:p w14:paraId="1BFF3EF2" w14:textId="3A123AFD" w:rsidR="003C05E7" w:rsidRPr="003C05E7" w:rsidRDefault="003C05E7" w:rsidP="003C05E7">
      <w:pPr>
        <w:spacing w:after="0" w:line="240" w:lineRule="auto"/>
        <w:jc w:val="both"/>
        <w:rPr>
          <w:rFonts w:ascii="Times New Roman" w:eastAsia="Times New Roman" w:hAnsi="Times New Roman" w:cs="Times New Roman"/>
          <w:sz w:val="20"/>
          <w:szCs w:val="20"/>
        </w:rPr>
      </w:pPr>
      <w:r w:rsidRPr="003C05E7">
        <w:rPr>
          <w:rFonts w:ascii="Times New Roman" w:hAnsi="Times New Roman" w:cs="Times New Roman"/>
          <w:b/>
          <w:bCs/>
          <w:sz w:val="20"/>
          <w:szCs w:val="20"/>
        </w:rPr>
        <w:lastRenderedPageBreak/>
        <w:t xml:space="preserve">Table 7: Total Dose Contributions </w:t>
      </w:r>
      <w:proofErr w:type="spellStart"/>
      <w:r w:rsidRPr="003C05E7">
        <w:rPr>
          <w:rFonts w:ascii="Times New Roman" w:hAnsi="Times New Roman" w:cs="Times New Roman"/>
          <w:b/>
          <w:bCs/>
          <w:sz w:val="20"/>
          <w:szCs w:val="20"/>
        </w:rPr>
        <w:t>TDOSE</w:t>
      </w:r>
      <w:proofErr w:type="spellEnd"/>
      <w:r w:rsidRPr="003C05E7">
        <w:rPr>
          <w:rFonts w:ascii="Times New Roman" w:hAnsi="Times New Roman" w:cs="Times New Roman"/>
          <w:b/>
          <w:bCs/>
          <w:sz w:val="20"/>
          <w:szCs w:val="20"/>
        </w:rPr>
        <w:t>(</w:t>
      </w:r>
      <w:proofErr w:type="spellStart"/>
      <w:proofErr w:type="gramStart"/>
      <w:r w:rsidRPr="003C05E7">
        <w:rPr>
          <w:rFonts w:ascii="Times New Roman" w:hAnsi="Times New Roman" w:cs="Times New Roman"/>
          <w:b/>
          <w:bCs/>
          <w:sz w:val="20"/>
          <w:szCs w:val="20"/>
        </w:rPr>
        <w:t>i,p</w:t>
      </w:r>
      <w:proofErr w:type="gramEnd"/>
      <w:r w:rsidRPr="003C05E7">
        <w:rPr>
          <w:rFonts w:ascii="Times New Roman" w:hAnsi="Times New Roman" w:cs="Times New Roman"/>
          <w:b/>
          <w:bCs/>
          <w:sz w:val="20"/>
          <w:szCs w:val="20"/>
        </w:rPr>
        <w:t>,t</w:t>
      </w:r>
      <w:proofErr w:type="spellEnd"/>
      <w:r w:rsidRPr="003C05E7">
        <w:rPr>
          <w:rFonts w:ascii="Times New Roman" w:hAnsi="Times New Roman" w:cs="Times New Roman"/>
          <w:b/>
          <w:bCs/>
          <w:sz w:val="20"/>
          <w:szCs w:val="20"/>
        </w:rPr>
        <w:t>) for Individual Radionuclides Under the 1.25 m Clean Soil Cover Remediation Scenario (mSv yr</w:t>
      </w:r>
      <w:r w:rsidRPr="003C05E7">
        <w:rPr>
          <w:rFonts w:ascii="Times New Roman" w:eastAsia="MS Gothic" w:hAnsi="Times New Roman" w:cs="Times New Roman"/>
          <w:b/>
          <w:bCs/>
          <w:sz w:val="20"/>
          <w:szCs w:val="20"/>
        </w:rPr>
        <w:t>⁻</w:t>
      </w:r>
      <w:r w:rsidRPr="003C05E7">
        <w:rPr>
          <w:rFonts w:ascii="Times New Roman" w:hAnsi="Times New Roman" w:cs="Times New Roman"/>
          <w:b/>
          <w:bCs/>
          <w:sz w:val="20"/>
          <w:szCs w:val="20"/>
        </w:rPr>
        <w:t>¹, all Pathways Summed)</w:t>
      </w:r>
    </w:p>
    <w:tbl>
      <w:tblPr>
        <w:tblStyle w:val="ListTable6Colorful"/>
        <w:tblW w:w="5000" w:type="pct"/>
        <w:tblLook w:val="0620" w:firstRow="1" w:lastRow="0" w:firstColumn="0" w:lastColumn="0" w:noHBand="1" w:noVBand="1"/>
      </w:tblPr>
      <w:tblGrid>
        <w:gridCol w:w="1495"/>
        <w:gridCol w:w="1961"/>
        <w:gridCol w:w="1961"/>
        <w:gridCol w:w="1960"/>
        <w:gridCol w:w="1985"/>
      </w:tblGrid>
      <w:tr w:rsidR="003C05E7" w:rsidRPr="003C05E7" w14:paraId="4EC2DA34" w14:textId="77777777" w:rsidTr="002E79FB">
        <w:trPr>
          <w:cnfStyle w:val="100000000000" w:firstRow="1" w:lastRow="0" w:firstColumn="0" w:lastColumn="0" w:oddVBand="0" w:evenVBand="0" w:oddHBand="0" w:evenHBand="0" w:firstRowFirstColumn="0" w:firstRowLastColumn="0" w:lastRowFirstColumn="0" w:lastRowLastColumn="0"/>
          <w:trHeight w:val="230"/>
          <w:tblHeader/>
        </w:trPr>
        <w:tc>
          <w:tcPr>
            <w:tcW w:w="798" w:type="pct"/>
            <w:tcBorders>
              <w:top w:val="single" w:sz="4" w:space="0" w:color="000000" w:themeColor="text1"/>
              <w:left w:val="nil"/>
              <w:right w:val="nil"/>
            </w:tcBorders>
            <w:hideMark/>
          </w:tcPr>
          <w:p w14:paraId="2A1E881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Time (</w:t>
            </w:r>
            <w:proofErr w:type="spellStart"/>
            <w:r w:rsidRPr="003C05E7">
              <w:rPr>
                <w:rFonts w:ascii="Times New Roman" w:hAnsi="Times New Roman" w:cs="Times New Roman"/>
                <w:bCs w:val="0"/>
                <w:color w:val="000000"/>
                <w:sz w:val="20"/>
                <w:szCs w:val="20"/>
              </w:rPr>
              <w:t>yr</w:t>
            </w:r>
            <w:proofErr w:type="spellEnd"/>
            <w:r w:rsidRPr="003C05E7">
              <w:rPr>
                <w:rFonts w:ascii="Times New Roman" w:hAnsi="Times New Roman" w:cs="Times New Roman"/>
                <w:bCs w:val="0"/>
                <w:color w:val="000000"/>
                <w:sz w:val="20"/>
                <w:szCs w:val="20"/>
              </w:rPr>
              <w:t>)</w:t>
            </w:r>
          </w:p>
        </w:tc>
        <w:tc>
          <w:tcPr>
            <w:tcW w:w="1047" w:type="pct"/>
            <w:tcBorders>
              <w:top w:val="single" w:sz="4" w:space="0" w:color="000000" w:themeColor="text1"/>
              <w:left w:val="nil"/>
              <w:right w:val="nil"/>
            </w:tcBorders>
            <w:hideMark/>
          </w:tcPr>
          <w:p w14:paraId="7058448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⁴⁰K</w:t>
            </w:r>
          </w:p>
        </w:tc>
        <w:tc>
          <w:tcPr>
            <w:tcW w:w="1047" w:type="pct"/>
            <w:tcBorders>
              <w:top w:val="single" w:sz="4" w:space="0" w:color="000000" w:themeColor="text1"/>
              <w:left w:val="nil"/>
              <w:right w:val="nil"/>
            </w:tcBorders>
            <w:hideMark/>
          </w:tcPr>
          <w:p w14:paraId="0548FAC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²²</w:t>
            </w:r>
            <w:r w:rsidRPr="003C05E7">
              <w:rPr>
                <w:rFonts w:ascii="Times New Roman" w:eastAsia="MS Gothic" w:hAnsi="Times New Roman" w:cs="Times New Roman"/>
                <w:bCs w:val="0"/>
                <w:color w:val="000000"/>
                <w:sz w:val="20"/>
                <w:szCs w:val="20"/>
              </w:rPr>
              <w:t>⁶</w:t>
            </w:r>
            <w:r w:rsidRPr="003C05E7">
              <w:rPr>
                <w:rFonts w:ascii="Times New Roman" w:hAnsi="Times New Roman" w:cs="Times New Roman"/>
                <w:bCs w:val="0"/>
                <w:color w:val="000000"/>
                <w:sz w:val="20"/>
                <w:szCs w:val="20"/>
              </w:rPr>
              <w:t>Ra</w:t>
            </w:r>
          </w:p>
        </w:tc>
        <w:tc>
          <w:tcPr>
            <w:tcW w:w="1047" w:type="pct"/>
            <w:tcBorders>
              <w:top w:val="single" w:sz="4" w:space="0" w:color="000000" w:themeColor="text1"/>
              <w:left w:val="nil"/>
              <w:right w:val="nil"/>
            </w:tcBorders>
            <w:hideMark/>
          </w:tcPr>
          <w:p w14:paraId="5BC89B8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²³²Th</w:t>
            </w:r>
          </w:p>
        </w:tc>
        <w:tc>
          <w:tcPr>
            <w:tcW w:w="1060" w:type="pct"/>
            <w:tcBorders>
              <w:top w:val="single" w:sz="4" w:space="0" w:color="000000" w:themeColor="text1"/>
              <w:left w:val="nil"/>
              <w:right w:val="nil"/>
            </w:tcBorders>
            <w:hideMark/>
          </w:tcPr>
          <w:p w14:paraId="3A04371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Total</w:t>
            </w:r>
          </w:p>
        </w:tc>
      </w:tr>
      <w:tr w:rsidR="003C05E7" w:rsidRPr="003C05E7" w14:paraId="58AA2B0B" w14:textId="77777777" w:rsidTr="003C05E7">
        <w:trPr>
          <w:trHeight w:val="230"/>
        </w:trPr>
        <w:tc>
          <w:tcPr>
            <w:tcW w:w="798" w:type="pct"/>
            <w:tcBorders>
              <w:top w:val="nil"/>
              <w:left w:val="nil"/>
              <w:bottom w:val="nil"/>
              <w:right w:val="nil"/>
            </w:tcBorders>
            <w:hideMark/>
          </w:tcPr>
          <w:p w14:paraId="2439DD1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w:t>
            </w:r>
          </w:p>
        </w:tc>
        <w:tc>
          <w:tcPr>
            <w:tcW w:w="1047" w:type="pct"/>
            <w:tcBorders>
              <w:top w:val="nil"/>
              <w:left w:val="nil"/>
              <w:bottom w:val="nil"/>
              <w:right w:val="nil"/>
            </w:tcBorders>
            <w:hideMark/>
          </w:tcPr>
          <w:p w14:paraId="5AE3EA9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2.114E-07</w:t>
            </w:r>
          </w:p>
        </w:tc>
        <w:tc>
          <w:tcPr>
            <w:tcW w:w="1047" w:type="pct"/>
            <w:tcBorders>
              <w:top w:val="nil"/>
              <w:left w:val="nil"/>
              <w:bottom w:val="nil"/>
              <w:right w:val="nil"/>
            </w:tcBorders>
            <w:hideMark/>
          </w:tcPr>
          <w:p w14:paraId="74AC5D6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1.367E-01</w:t>
            </w:r>
          </w:p>
        </w:tc>
        <w:tc>
          <w:tcPr>
            <w:tcW w:w="1047" w:type="pct"/>
            <w:tcBorders>
              <w:top w:val="nil"/>
              <w:left w:val="nil"/>
              <w:bottom w:val="nil"/>
              <w:right w:val="nil"/>
            </w:tcBorders>
            <w:hideMark/>
          </w:tcPr>
          <w:p w14:paraId="1388267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7.863E-09</w:t>
            </w:r>
          </w:p>
        </w:tc>
        <w:tc>
          <w:tcPr>
            <w:tcW w:w="1060" w:type="pct"/>
            <w:tcBorders>
              <w:top w:val="nil"/>
              <w:left w:val="nil"/>
              <w:bottom w:val="nil"/>
              <w:right w:val="nil"/>
            </w:tcBorders>
            <w:hideMark/>
          </w:tcPr>
          <w:p w14:paraId="69395CC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1.367E-01</w:t>
            </w:r>
          </w:p>
        </w:tc>
      </w:tr>
      <w:tr w:rsidR="003C05E7" w:rsidRPr="003C05E7" w14:paraId="484B4408" w14:textId="77777777" w:rsidTr="003C05E7">
        <w:trPr>
          <w:trHeight w:val="230"/>
        </w:trPr>
        <w:tc>
          <w:tcPr>
            <w:tcW w:w="798" w:type="pct"/>
            <w:tcBorders>
              <w:top w:val="nil"/>
              <w:left w:val="nil"/>
              <w:bottom w:val="nil"/>
              <w:right w:val="nil"/>
            </w:tcBorders>
            <w:hideMark/>
          </w:tcPr>
          <w:p w14:paraId="1342278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w:t>
            </w:r>
          </w:p>
        </w:tc>
        <w:tc>
          <w:tcPr>
            <w:tcW w:w="1047" w:type="pct"/>
            <w:tcBorders>
              <w:top w:val="nil"/>
              <w:left w:val="nil"/>
              <w:bottom w:val="nil"/>
              <w:right w:val="nil"/>
            </w:tcBorders>
            <w:hideMark/>
          </w:tcPr>
          <w:p w14:paraId="6BF33A6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2.133E-07</w:t>
            </w:r>
          </w:p>
        </w:tc>
        <w:tc>
          <w:tcPr>
            <w:tcW w:w="1047" w:type="pct"/>
            <w:tcBorders>
              <w:top w:val="nil"/>
              <w:left w:val="nil"/>
              <w:bottom w:val="nil"/>
              <w:right w:val="nil"/>
            </w:tcBorders>
            <w:hideMark/>
          </w:tcPr>
          <w:p w14:paraId="6D14BC3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1.368E-01</w:t>
            </w:r>
          </w:p>
        </w:tc>
        <w:tc>
          <w:tcPr>
            <w:tcW w:w="1047" w:type="pct"/>
            <w:tcBorders>
              <w:top w:val="nil"/>
              <w:left w:val="nil"/>
              <w:bottom w:val="nil"/>
              <w:right w:val="nil"/>
            </w:tcBorders>
            <w:hideMark/>
          </w:tcPr>
          <w:p w14:paraId="4F855D6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4.541E-08</w:t>
            </w:r>
          </w:p>
        </w:tc>
        <w:tc>
          <w:tcPr>
            <w:tcW w:w="1060" w:type="pct"/>
            <w:tcBorders>
              <w:top w:val="nil"/>
              <w:left w:val="nil"/>
              <w:bottom w:val="nil"/>
              <w:right w:val="nil"/>
            </w:tcBorders>
            <w:hideMark/>
          </w:tcPr>
          <w:p w14:paraId="4A5C0C2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1.368E-01</w:t>
            </w:r>
          </w:p>
        </w:tc>
      </w:tr>
      <w:tr w:rsidR="003C05E7" w:rsidRPr="003C05E7" w14:paraId="3B0435E1" w14:textId="77777777" w:rsidTr="003C05E7">
        <w:trPr>
          <w:trHeight w:val="230"/>
        </w:trPr>
        <w:tc>
          <w:tcPr>
            <w:tcW w:w="798" w:type="pct"/>
            <w:tcBorders>
              <w:top w:val="nil"/>
              <w:left w:val="nil"/>
              <w:bottom w:val="nil"/>
              <w:right w:val="nil"/>
            </w:tcBorders>
            <w:hideMark/>
          </w:tcPr>
          <w:p w14:paraId="0A7DB72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w:t>
            </w:r>
          </w:p>
        </w:tc>
        <w:tc>
          <w:tcPr>
            <w:tcW w:w="1047" w:type="pct"/>
            <w:tcBorders>
              <w:top w:val="nil"/>
              <w:left w:val="nil"/>
              <w:bottom w:val="nil"/>
              <w:right w:val="nil"/>
            </w:tcBorders>
            <w:hideMark/>
          </w:tcPr>
          <w:p w14:paraId="13E8419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2.172E-07</w:t>
            </w:r>
          </w:p>
        </w:tc>
        <w:tc>
          <w:tcPr>
            <w:tcW w:w="1047" w:type="pct"/>
            <w:tcBorders>
              <w:top w:val="nil"/>
              <w:left w:val="nil"/>
              <w:bottom w:val="nil"/>
              <w:right w:val="nil"/>
            </w:tcBorders>
            <w:hideMark/>
          </w:tcPr>
          <w:p w14:paraId="5029F3D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1.370E-01</w:t>
            </w:r>
          </w:p>
        </w:tc>
        <w:tc>
          <w:tcPr>
            <w:tcW w:w="1047" w:type="pct"/>
            <w:tcBorders>
              <w:top w:val="nil"/>
              <w:left w:val="nil"/>
              <w:bottom w:val="nil"/>
              <w:right w:val="nil"/>
            </w:tcBorders>
            <w:hideMark/>
          </w:tcPr>
          <w:p w14:paraId="747C1D6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1.782E-07</w:t>
            </w:r>
          </w:p>
        </w:tc>
        <w:tc>
          <w:tcPr>
            <w:tcW w:w="1060" w:type="pct"/>
            <w:tcBorders>
              <w:top w:val="nil"/>
              <w:left w:val="nil"/>
              <w:bottom w:val="nil"/>
              <w:right w:val="nil"/>
            </w:tcBorders>
            <w:hideMark/>
          </w:tcPr>
          <w:p w14:paraId="587FD46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1.370E-01</w:t>
            </w:r>
          </w:p>
        </w:tc>
      </w:tr>
      <w:tr w:rsidR="003C05E7" w:rsidRPr="003C05E7" w14:paraId="280403A7" w14:textId="77777777" w:rsidTr="003C05E7">
        <w:trPr>
          <w:trHeight w:val="230"/>
        </w:trPr>
        <w:tc>
          <w:tcPr>
            <w:tcW w:w="798" w:type="pct"/>
            <w:tcBorders>
              <w:top w:val="nil"/>
              <w:left w:val="nil"/>
              <w:bottom w:val="nil"/>
              <w:right w:val="nil"/>
            </w:tcBorders>
            <w:hideMark/>
          </w:tcPr>
          <w:p w14:paraId="2B93D70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30</w:t>
            </w:r>
          </w:p>
        </w:tc>
        <w:tc>
          <w:tcPr>
            <w:tcW w:w="1047" w:type="pct"/>
            <w:tcBorders>
              <w:top w:val="nil"/>
              <w:left w:val="nil"/>
              <w:bottom w:val="nil"/>
              <w:right w:val="nil"/>
            </w:tcBorders>
            <w:hideMark/>
          </w:tcPr>
          <w:p w14:paraId="61ABE1C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2.314E-07</w:t>
            </w:r>
          </w:p>
        </w:tc>
        <w:tc>
          <w:tcPr>
            <w:tcW w:w="1047" w:type="pct"/>
            <w:tcBorders>
              <w:top w:val="nil"/>
              <w:left w:val="nil"/>
              <w:bottom w:val="nil"/>
              <w:right w:val="nil"/>
            </w:tcBorders>
            <w:hideMark/>
          </w:tcPr>
          <w:p w14:paraId="1A028EA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1.375E-01</w:t>
            </w:r>
          </w:p>
        </w:tc>
        <w:tc>
          <w:tcPr>
            <w:tcW w:w="1047" w:type="pct"/>
            <w:tcBorders>
              <w:top w:val="nil"/>
              <w:left w:val="nil"/>
              <w:bottom w:val="nil"/>
              <w:right w:val="nil"/>
            </w:tcBorders>
            <w:hideMark/>
          </w:tcPr>
          <w:p w14:paraId="6F26747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6.957E-07</w:t>
            </w:r>
          </w:p>
        </w:tc>
        <w:tc>
          <w:tcPr>
            <w:tcW w:w="1060" w:type="pct"/>
            <w:tcBorders>
              <w:top w:val="nil"/>
              <w:left w:val="nil"/>
              <w:bottom w:val="nil"/>
              <w:right w:val="nil"/>
            </w:tcBorders>
            <w:hideMark/>
          </w:tcPr>
          <w:p w14:paraId="314E684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1.375E-01</w:t>
            </w:r>
          </w:p>
        </w:tc>
      </w:tr>
      <w:tr w:rsidR="003C05E7" w:rsidRPr="003C05E7" w14:paraId="4771FCEB" w14:textId="77777777" w:rsidTr="003C05E7">
        <w:trPr>
          <w:trHeight w:val="230"/>
        </w:trPr>
        <w:tc>
          <w:tcPr>
            <w:tcW w:w="798" w:type="pct"/>
            <w:tcBorders>
              <w:top w:val="nil"/>
              <w:left w:val="nil"/>
              <w:bottom w:val="nil"/>
              <w:right w:val="nil"/>
            </w:tcBorders>
            <w:hideMark/>
          </w:tcPr>
          <w:p w14:paraId="3D0CE18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100</w:t>
            </w:r>
          </w:p>
        </w:tc>
        <w:tc>
          <w:tcPr>
            <w:tcW w:w="1047" w:type="pct"/>
            <w:tcBorders>
              <w:top w:val="nil"/>
              <w:left w:val="nil"/>
              <w:bottom w:val="nil"/>
              <w:right w:val="nil"/>
            </w:tcBorders>
            <w:hideMark/>
          </w:tcPr>
          <w:p w14:paraId="3235CDC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2.772E-07</w:t>
            </w:r>
          </w:p>
        </w:tc>
        <w:tc>
          <w:tcPr>
            <w:tcW w:w="1047" w:type="pct"/>
            <w:tcBorders>
              <w:top w:val="nil"/>
              <w:left w:val="nil"/>
              <w:bottom w:val="nil"/>
              <w:right w:val="nil"/>
            </w:tcBorders>
            <w:hideMark/>
          </w:tcPr>
          <w:p w14:paraId="5524A9F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1.391E-01</w:t>
            </w:r>
          </w:p>
        </w:tc>
        <w:tc>
          <w:tcPr>
            <w:tcW w:w="1047" w:type="pct"/>
            <w:tcBorders>
              <w:top w:val="nil"/>
              <w:left w:val="nil"/>
              <w:bottom w:val="nil"/>
              <w:right w:val="nil"/>
            </w:tcBorders>
            <w:hideMark/>
          </w:tcPr>
          <w:p w14:paraId="7A99D5B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1.353E-06</w:t>
            </w:r>
          </w:p>
        </w:tc>
        <w:tc>
          <w:tcPr>
            <w:tcW w:w="1060" w:type="pct"/>
            <w:tcBorders>
              <w:top w:val="nil"/>
              <w:left w:val="nil"/>
              <w:bottom w:val="nil"/>
              <w:right w:val="nil"/>
            </w:tcBorders>
            <w:hideMark/>
          </w:tcPr>
          <w:p w14:paraId="7AA92EB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1.391E-01</w:t>
            </w:r>
          </w:p>
        </w:tc>
      </w:tr>
      <w:tr w:rsidR="003C05E7" w:rsidRPr="003C05E7" w14:paraId="593630E0" w14:textId="77777777" w:rsidTr="003C05E7">
        <w:trPr>
          <w:trHeight w:val="230"/>
        </w:trPr>
        <w:tc>
          <w:tcPr>
            <w:tcW w:w="798" w:type="pct"/>
            <w:tcBorders>
              <w:top w:val="nil"/>
              <w:left w:val="nil"/>
              <w:bottom w:val="nil"/>
              <w:right w:val="nil"/>
            </w:tcBorders>
            <w:hideMark/>
          </w:tcPr>
          <w:p w14:paraId="7B00A67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300</w:t>
            </w:r>
          </w:p>
        </w:tc>
        <w:tc>
          <w:tcPr>
            <w:tcW w:w="1047" w:type="pct"/>
            <w:tcBorders>
              <w:top w:val="nil"/>
              <w:left w:val="nil"/>
              <w:bottom w:val="nil"/>
              <w:right w:val="nil"/>
            </w:tcBorders>
            <w:hideMark/>
          </w:tcPr>
          <w:p w14:paraId="6300624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5.219E-07</w:t>
            </w:r>
          </w:p>
        </w:tc>
        <w:tc>
          <w:tcPr>
            <w:tcW w:w="1047" w:type="pct"/>
            <w:tcBorders>
              <w:top w:val="nil"/>
              <w:left w:val="nil"/>
              <w:bottom w:val="nil"/>
              <w:right w:val="nil"/>
            </w:tcBorders>
            <w:hideMark/>
          </w:tcPr>
          <w:p w14:paraId="20C624DE"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1.448E-01</w:t>
            </w:r>
          </w:p>
        </w:tc>
        <w:tc>
          <w:tcPr>
            <w:tcW w:w="1047" w:type="pct"/>
            <w:tcBorders>
              <w:top w:val="nil"/>
              <w:left w:val="nil"/>
              <w:bottom w:val="nil"/>
              <w:right w:val="nil"/>
            </w:tcBorders>
            <w:hideMark/>
          </w:tcPr>
          <w:p w14:paraId="6C81168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2.657E-06</w:t>
            </w:r>
          </w:p>
        </w:tc>
        <w:tc>
          <w:tcPr>
            <w:tcW w:w="1060" w:type="pct"/>
            <w:tcBorders>
              <w:top w:val="nil"/>
              <w:left w:val="nil"/>
              <w:bottom w:val="nil"/>
              <w:right w:val="nil"/>
            </w:tcBorders>
            <w:hideMark/>
          </w:tcPr>
          <w:p w14:paraId="2F4A875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1.448E-01</w:t>
            </w:r>
          </w:p>
        </w:tc>
      </w:tr>
      <w:tr w:rsidR="003C05E7" w:rsidRPr="003C05E7" w14:paraId="5A13EA9A" w14:textId="77777777" w:rsidTr="003C05E7">
        <w:trPr>
          <w:trHeight w:val="230"/>
        </w:trPr>
        <w:tc>
          <w:tcPr>
            <w:tcW w:w="798" w:type="pct"/>
            <w:tcBorders>
              <w:top w:val="nil"/>
              <w:left w:val="nil"/>
              <w:bottom w:val="single" w:sz="4" w:space="0" w:color="000000" w:themeColor="text1"/>
              <w:right w:val="nil"/>
            </w:tcBorders>
            <w:hideMark/>
          </w:tcPr>
          <w:p w14:paraId="0EFDE44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1000</w:t>
            </w:r>
          </w:p>
        </w:tc>
        <w:tc>
          <w:tcPr>
            <w:tcW w:w="1047" w:type="pct"/>
            <w:tcBorders>
              <w:top w:val="nil"/>
              <w:left w:val="nil"/>
              <w:bottom w:val="single" w:sz="4" w:space="0" w:color="000000" w:themeColor="text1"/>
              <w:right w:val="nil"/>
            </w:tcBorders>
            <w:hideMark/>
          </w:tcPr>
          <w:p w14:paraId="3D2B6F0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3.181E-06</w:t>
            </w:r>
          </w:p>
        </w:tc>
        <w:tc>
          <w:tcPr>
            <w:tcW w:w="1047" w:type="pct"/>
            <w:tcBorders>
              <w:top w:val="nil"/>
              <w:left w:val="nil"/>
              <w:bottom w:val="single" w:sz="4" w:space="0" w:color="000000" w:themeColor="text1"/>
              <w:right w:val="nil"/>
            </w:tcBorders>
            <w:hideMark/>
          </w:tcPr>
          <w:p w14:paraId="464E52D4"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1.544E-01</w:t>
            </w:r>
          </w:p>
        </w:tc>
        <w:tc>
          <w:tcPr>
            <w:tcW w:w="1047" w:type="pct"/>
            <w:tcBorders>
              <w:top w:val="nil"/>
              <w:left w:val="nil"/>
              <w:bottom w:val="single" w:sz="4" w:space="0" w:color="000000" w:themeColor="text1"/>
              <w:right w:val="nil"/>
            </w:tcBorders>
            <w:hideMark/>
          </w:tcPr>
          <w:p w14:paraId="45CC643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1.653E-05</w:t>
            </w:r>
          </w:p>
        </w:tc>
        <w:tc>
          <w:tcPr>
            <w:tcW w:w="1060" w:type="pct"/>
            <w:tcBorders>
              <w:top w:val="nil"/>
              <w:left w:val="nil"/>
              <w:bottom w:val="single" w:sz="4" w:space="0" w:color="000000" w:themeColor="text1"/>
              <w:right w:val="nil"/>
            </w:tcBorders>
            <w:hideMark/>
          </w:tcPr>
          <w:p w14:paraId="4D2D334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1.544E-01</w:t>
            </w:r>
          </w:p>
        </w:tc>
      </w:tr>
    </w:tbl>
    <w:p w14:paraId="491BF34E" w14:textId="145AD605" w:rsidR="003C05E7" w:rsidRPr="003C05E7" w:rsidRDefault="003C05E7" w:rsidP="003C05E7">
      <w:pPr>
        <w:spacing w:after="0" w:line="240" w:lineRule="auto"/>
        <w:jc w:val="both"/>
        <w:rPr>
          <w:rFonts w:ascii="Times New Roman" w:eastAsia="Times New Roman" w:hAnsi="Times New Roman" w:cs="Times New Roman"/>
          <w:sz w:val="20"/>
          <w:szCs w:val="20"/>
          <w:lang w:val="zh-CN" w:eastAsia="zh-CN"/>
        </w:rPr>
      </w:pPr>
      <w:r w:rsidRPr="003C05E7">
        <w:rPr>
          <w:rFonts w:ascii="Times New Roman" w:hAnsi="Times New Roman" w:cs="Times New Roman"/>
          <w:i/>
          <w:iCs/>
          <w:sz w:val="20"/>
          <w:szCs w:val="20"/>
        </w:rPr>
        <w:t>Note</w:t>
      </w:r>
      <w:r w:rsidR="00BB2D73">
        <w:rPr>
          <w:rFonts w:ascii="Times New Roman" w:hAnsi="Times New Roman" w:cs="Times New Roman"/>
          <w:i/>
          <w:iCs/>
          <w:sz w:val="20"/>
          <w:szCs w:val="20"/>
        </w:rPr>
        <w:t>:</w:t>
      </w:r>
      <w:r w:rsidRPr="003C05E7">
        <w:rPr>
          <w:rFonts w:ascii="Times New Roman" w:hAnsi="Times New Roman" w:cs="Times New Roman"/>
          <w:i/>
          <w:iCs/>
          <w:sz w:val="20"/>
          <w:szCs w:val="20"/>
        </w:rPr>
        <w:t xml:space="preserve"> Values are </w:t>
      </w:r>
      <w:proofErr w:type="spellStart"/>
      <w:r w:rsidRPr="003C05E7">
        <w:rPr>
          <w:rFonts w:ascii="Times New Roman" w:hAnsi="Times New Roman" w:cs="Times New Roman"/>
          <w:i/>
          <w:iCs/>
          <w:sz w:val="20"/>
          <w:szCs w:val="20"/>
        </w:rPr>
        <w:t>TDOSE</w:t>
      </w:r>
      <w:proofErr w:type="spellEnd"/>
      <w:r w:rsidRPr="003C05E7">
        <w:rPr>
          <w:rFonts w:ascii="Times New Roman" w:hAnsi="Times New Roman" w:cs="Times New Roman"/>
          <w:i/>
          <w:iCs/>
          <w:sz w:val="20"/>
          <w:szCs w:val="20"/>
        </w:rPr>
        <w:t>(</w:t>
      </w:r>
      <w:proofErr w:type="spellStart"/>
      <w:proofErr w:type="gramStart"/>
      <w:r w:rsidRPr="003C05E7">
        <w:rPr>
          <w:rFonts w:ascii="Times New Roman" w:hAnsi="Times New Roman" w:cs="Times New Roman"/>
          <w:i/>
          <w:iCs/>
          <w:sz w:val="20"/>
          <w:szCs w:val="20"/>
        </w:rPr>
        <w:t>i,p</w:t>
      </w:r>
      <w:proofErr w:type="gramEnd"/>
      <w:r w:rsidRPr="003C05E7">
        <w:rPr>
          <w:rFonts w:ascii="Times New Roman" w:hAnsi="Times New Roman" w:cs="Times New Roman"/>
          <w:i/>
          <w:iCs/>
          <w:sz w:val="20"/>
          <w:szCs w:val="20"/>
        </w:rPr>
        <w:t>,t</w:t>
      </w:r>
      <w:proofErr w:type="spellEnd"/>
      <w:r w:rsidRPr="003C05E7">
        <w:rPr>
          <w:rFonts w:ascii="Times New Roman" w:hAnsi="Times New Roman" w:cs="Times New Roman"/>
          <w:i/>
          <w:iCs/>
          <w:sz w:val="20"/>
          <w:szCs w:val="20"/>
        </w:rPr>
        <w:t xml:space="preserve">), all </w:t>
      </w:r>
      <w:r w:rsidR="00BB2D73" w:rsidRPr="003C05E7">
        <w:rPr>
          <w:rFonts w:ascii="Times New Roman" w:hAnsi="Times New Roman" w:cs="Times New Roman"/>
          <w:i/>
          <w:iCs/>
          <w:sz w:val="20"/>
          <w:szCs w:val="20"/>
        </w:rPr>
        <w:t>Pathways Summed</w:t>
      </w:r>
      <w:r w:rsidRPr="003C05E7">
        <w:rPr>
          <w:rFonts w:ascii="Times New Roman" w:hAnsi="Times New Roman" w:cs="Times New Roman"/>
          <w:i/>
          <w:iCs/>
          <w:sz w:val="20"/>
          <w:szCs w:val="20"/>
        </w:rPr>
        <w:t xml:space="preserve">, from RESRAD-Onsite 7.2 </w:t>
      </w:r>
      <w:r w:rsidR="00BB2D73" w:rsidRPr="003C05E7">
        <w:rPr>
          <w:rFonts w:ascii="Times New Roman" w:hAnsi="Times New Roman" w:cs="Times New Roman"/>
          <w:i/>
          <w:iCs/>
          <w:sz w:val="20"/>
          <w:szCs w:val="20"/>
        </w:rPr>
        <w:t xml:space="preserve">Output </w:t>
      </w:r>
      <w:r w:rsidRPr="003C05E7">
        <w:rPr>
          <w:rFonts w:ascii="Times New Roman" w:hAnsi="Times New Roman" w:cs="Times New Roman"/>
          <w:i/>
          <w:iCs/>
          <w:sz w:val="20"/>
          <w:szCs w:val="20"/>
        </w:rPr>
        <w:t>(</w:t>
      </w:r>
      <w:r w:rsidR="00BB2D73" w:rsidRPr="003C05E7">
        <w:rPr>
          <w:rFonts w:ascii="Times New Roman" w:hAnsi="Times New Roman" w:cs="Times New Roman"/>
          <w:i/>
          <w:iCs/>
          <w:sz w:val="20"/>
          <w:szCs w:val="20"/>
        </w:rPr>
        <w:t>Cover Scenario</w:t>
      </w:r>
      <w:r w:rsidRPr="003C05E7">
        <w:rPr>
          <w:rFonts w:ascii="Times New Roman" w:hAnsi="Times New Roman" w:cs="Times New Roman"/>
          <w:i/>
          <w:iCs/>
          <w:sz w:val="20"/>
          <w:szCs w:val="20"/>
        </w:rPr>
        <w:t xml:space="preserve">, </w:t>
      </w:r>
      <w:r w:rsidR="00BB2D73" w:rsidRPr="003C05E7">
        <w:rPr>
          <w:rFonts w:ascii="Times New Roman" w:hAnsi="Times New Roman" w:cs="Times New Roman"/>
          <w:i/>
          <w:iCs/>
          <w:sz w:val="20"/>
          <w:szCs w:val="20"/>
        </w:rPr>
        <w:t xml:space="preserve">Cover Depth </w:t>
      </w:r>
      <w:r w:rsidRPr="003C05E7">
        <w:rPr>
          <w:rFonts w:ascii="Times New Roman" w:hAnsi="Times New Roman" w:cs="Times New Roman"/>
          <w:i/>
          <w:iCs/>
          <w:sz w:val="20"/>
          <w:szCs w:val="20"/>
        </w:rPr>
        <w:t xml:space="preserve">= 1.25 m), </w:t>
      </w:r>
      <w:r w:rsidR="00BB2D73" w:rsidRPr="003C05E7">
        <w:rPr>
          <w:rFonts w:ascii="Times New Roman" w:hAnsi="Times New Roman" w:cs="Times New Roman"/>
          <w:i/>
          <w:iCs/>
          <w:sz w:val="20"/>
          <w:szCs w:val="20"/>
        </w:rPr>
        <w:t xml:space="preserve">File </w:t>
      </w:r>
      <w:r w:rsidRPr="003C05E7">
        <w:rPr>
          <w:rFonts w:ascii="Times New Roman" w:hAnsi="Times New Roman" w:cs="Times New Roman"/>
          <w:i/>
          <w:iCs/>
          <w:sz w:val="20"/>
          <w:szCs w:val="20"/>
        </w:rPr>
        <w:t xml:space="preserve">SITE1-QUARRY020626.RAD, </w:t>
      </w:r>
      <w:r w:rsidR="00BB2D73" w:rsidRPr="003C05E7">
        <w:rPr>
          <w:rFonts w:ascii="Times New Roman" w:hAnsi="Times New Roman" w:cs="Times New Roman"/>
          <w:i/>
          <w:iCs/>
          <w:sz w:val="20"/>
          <w:szCs w:val="20"/>
        </w:rPr>
        <w:t xml:space="preserve">Pages </w:t>
      </w:r>
      <w:r w:rsidRPr="003C05E7">
        <w:rPr>
          <w:rFonts w:ascii="Times New Roman" w:hAnsi="Times New Roman" w:cs="Times New Roman"/>
          <w:i/>
          <w:iCs/>
          <w:sz w:val="20"/>
          <w:szCs w:val="20"/>
        </w:rPr>
        <w:t xml:space="preserve">9–10. BRDL = 1.000 mSv/yr. Maximum </w:t>
      </w:r>
      <w:r w:rsidR="00BB2D73" w:rsidRPr="003C05E7">
        <w:rPr>
          <w:rFonts w:ascii="Times New Roman" w:hAnsi="Times New Roman" w:cs="Times New Roman"/>
          <w:i/>
          <w:iCs/>
          <w:sz w:val="20"/>
          <w:szCs w:val="20"/>
        </w:rPr>
        <w:t xml:space="preserve">Total Dose </w:t>
      </w:r>
      <w:r w:rsidRPr="003C05E7">
        <w:rPr>
          <w:rFonts w:ascii="Times New Roman" w:hAnsi="Times New Roman" w:cs="Times New Roman"/>
          <w:i/>
          <w:iCs/>
          <w:sz w:val="20"/>
          <w:szCs w:val="20"/>
        </w:rPr>
        <w:t>= 3.742E-01 mSv/</w:t>
      </w:r>
      <w:proofErr w:type="spellStart"/>
      <w:r w:rsidRPr="003C05E7">
        <w:rPr>
          <w:rFonts w:ascii="Times New Roman" w:hAnsi="Times New Roman" w:cs="Times New Roman"/>
          <w:i/>
          <w:iCs/>
          <w:sz w:val="20"/>
          <w:szCs w:val="20"/>
        </w:rPr>
        <w:t>yr</w:t>
      </w:r>
      <w:proofErr w:type="spellEnd"/>
      <w:r w:rsidRPr="003C05E7">
        <w:rPr>
          <w:rFonts w:ascii="Times New Roman" w:hAnsi="Times New Roman" w:cs="Times New Roman"/>
          <w:i/>
          <w:iCs/>
          <w:sz w:val="20"/>
          <w:szCs w:val="20"/>
        </w:rPr>
        <w:t xml:space="preserve"> at t = 1000 </w:t>
      </w:r>
      <w:r w:rsidR="00BB2D73" w:rsidRPr="003C05E7">
        <w:rPr>
          <w:rFonts w:ascii="Times New Roman" w:hAnsi="Times New Roman" w:cs="Times New Roman"/>
          <w:i/>
          <w:iCs/>
          <w:sz w:val="20"/>
          <w:szCs w:val="20"/>
        </w:rPr>
        <w:t>Years</w:t>
      </w:r>
      <w:r w:rsidRPr="003C05E7">
        <w:rPr>
          <w:rFonts w:ascii="Times New Roman" w:hAnsi="Times New Roman" w:cs="Times New Roman"/>
          <w:i/>
          <w:iCs/>
          <w:sz w:val="20"/>
          <w:szCs w:val="20"/>
        </w:rPr>
        <w:t xml:space="preserve">, </w:t>
      </w:r>
      <w:r w:rsidR="00BB2D73" w:rsidRPr="003C05E7">
        <w:rPr>
          <w:rFonts w:ascii="Times New Roman" w:hAnsi="Times New Roman" w:cs="Times New Roman"/>
          <w:i/>
          <w:iCs/>
          <w:sz w:val="20"/>
          <w:szCs w:val="20"/>
        </w:rPr>
        <w:t xml:space="preserve">Remaining Below </w:t>
      </w:r>
      <w:r w:rsidRPr="003C05E7">
        <w:rPr>
          <w:rFonts w:ascii="Times New Roman" w:hAnsi="Times New Roman" w:cs="Times New Roman"/>
          <w:i/>
          <w:iCs/>
          <w:sz w:val="20"/>
          <w:szCs w:val="20"/>
        </w:rPr>
        <w:t xml:space="preserve">the BRDL </w:t>
      </w:r>
      <w:r w:rsidR="00BB2D73" w:rsidRPr="003C05E7">
        <w:rPr>
          <w:rFonts w:ascii="Times New Roman" w:hAnsi="Times New Roman" w:cs="Times New Roman"/>
          <w:i/>
          <w:iCs/>
          <w:sz w:val="20"/>
          <w:szCs w:val="20"/>
        </w:rPr>
        <w:t xml:space="preserve">Throughout </w:t>
      </w:r>
      <w:r w:rsidRPr="003C05E7">
        <w:rPr>
          <w:rFonts w:ascii="Times New Roman" w:hAnsi="Times New Roman" w:cs="Times New Roman"/>
          <w:i/>
          <w:iCs/>
          <w:sz w:val="20"/>
          <w:szCs w:val="20"/>
        </w:rPr>
        <w:t xml:space="preserve">the </w:t>
      </w:r>
      <w:r w:rsidR="00BB2D73" w:rsidRPr="003C05E7">
        <w:rPr>
          <w:rFonts w:ascii="Times New Roman" w:hAnsi="Times New Roman" w:cs="Times New Roman"/>
          <w:i/>
          <w:iCs/>
          <w:sz w:val="20"/>
          <w:szCs w:val="20"/>
        </w:rPr>
        <w:t>Simulation</w:t>
      </w:r>
    </w:p>
    <w:p w14:paraId="5051DD9D"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2C387BF5" w14:textId="77777777" w:rsidR="00BB2D73" w:rsidRDefault="00BB2D73" w:rsidP="003C05E7">
      <w:pPr>
        <w:spacing w:after="0" w:line="240" w:lineRule="auto"/>
        <w:jc w:val="both"/>
        <w:rPr>
          <w:rFonts w:ascii="Times New Roman" w:hAnsi="Times New Roman" w:cs="Times New Roman"/>
          <w:sz w:val="20"/>
          <w:szCs w:val="20"/>
        </w:rPr>
        <w:sectPr w:rsidR="00BB2D73" w:rsidSect="002A637C">
          <w:type w:val="continuous"/>
          <w:pgSz w:w="12242" w:h="15842" w:code="1"/>
          <w:pgMar w:top="1440" w:right="1440" w:bottom="1440" w:left="1440" w:header="709" w:footer="709" w:gutter="0"/>
          <w:cols w:space="284"/>
          <w:docGrid w:linePitch="360"/>
        </w:sectPr>
      </w:pPr>
    </w:p>
    <w:p w14:paraId="6FAFA78C" w14:textId="25DD0C95" w:rsidR="003C05E7" w:rsidRPr="003C05E7" w:rsidRDefault="003C05E7" w:rsidP="003C05E7">
      <w:pPr>
        <w:spacing w:after="0" w:line="240" w:lineRule="auto"/>
        <w:jc w:val="both"/>
        <w:rPr>
          <w:rFonts w:ascii="Times New Roman" w:eastAsiaTheme="minorEastAsia" w:hAnsi="Times New Roman" w:cs="Times New Roman"/>
          <w:sz w:val="20"/>
          <w:szCs w:val="20"/>
        </w:rPr>
      </w:pPr>
      <w:r w:rsidRPr="003C05E7">
        <w:rPr>
          <w:rFonts w:ascii="Times New Roman" w:hAnsi="Times New Roman" w:cs="Times New Roman"/>
          <w:sz w:val="20"/>
          <w:szCs w:val="20"/>
        </w:rPr>
        <w:t>The maximum dose under the cover scenario was 3.742E-01 mSv/</w:t>
      </w:r>
      <w:proofErr w:type="spellStart"/>
      <w:r w:rsidRPr="003C05E7">
        <w:rPr>
          <w:rFonts w:ascii="Times New Roman" w:hAnsi="Times New Roman" w:cs="Times New Roman"/>
          <w:sz w:val="20"/>
          <w:szCs w:val="20"/>
        </w:rPr>
        <w:t>yr</w:t>
      </w:r>
      <w:proofErr w:type="spellEnd"/>
      <w:r w:rsidRPr="003C05E7">
        <w:rPr>
          <w:rFonts w:ascii="Times New Roman" w:hAnsi="Times New Roman" w:cs="Times New Roman"/>
          <w:sz w:val="20"/>
          <w:szCs w:val="20"/>
        </w:rPr>
        <w:t xml:space="preserve"> at t = 1000 years — the end of the simulation horizon. Crucially, even at the peak, the dose remained well below the BRDL of 1.000E+00 mSv/yr. The gradual rise from year 300 onwards reflects slow leaching and migration of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Th progeny through the cover layer over centuries as radionuclide retardation is eventually overcome by continued transport. Nevertheless, the 1.25 m cover effectively suppresses external gamma radiation and radon emanation during the critical near-term period (0–300 years), when community radiological risk is highest. This finding is consistent with international radiological clean-up practice (EPA, 2014; Walker, 2013) and with analogous studies at South African mine tailings (</w:t>
      </w:r>
      <w:proofErr w:type="spellStart"/>
      <w:r w:rsidRPr="003C05E7">
        <w:rPr>
          <w:rFonts w:ascii="Times New Roman" w:hAnsi="Times New Roman" w:cs="Times New Roman"/>
          <w:sz w:val="20"/>
          <w:szCs w:val="20"/>
        </w:rPr>
        <w:t>Njinga</w:t>
      </w:r>
      <w:proofErr w:type="spellEnd"/>
      <w:r w:rsidRPr="003C05E7">
        <w:rPr>
          <w:rFonts w:ascii="Times New Roman" w:hAnsi="Times New Roman" w:cs="Times New Roman"/>
          <w:sz w:val="20"/>
          <w:szCs w:val="20"/>
        </w:rPr>
        <w:t xml:space="preserve"> &amp; </w:t>
      </w:r>
      <w:proofErr w:type="spellStart"/>
      <w:r w:rsidRPr="003C05E7">
        <w:rPr>
          <w:rFonts w:ascii="Times New Roman" w:hAnsi="Times New Roman" w:cs="Times New Roman"/>
          <w:sz w:val="20"/>
          <w:szCs w:val="20"/>
        </w:rPr>
        <w:t>Tshivhase</w:t>
      </w:r>
      <w:proofErr w:type="spellEnd"/>
      <w:r w:rsidRPr="003C05E7">
        <w:rPr>
          <w:rFonts w:ascii="Times New Roman" w:hAnsi="Times New Roman" w:cs="Times New Roman"/>
          <w:sz w:val="20"/>
          <w:szCs w:val="20"/>
        </w:rPr>
        <w:t xml:space="preserve">, 2018). The corresponding excess cancer risks under the 1.25 m cover scenario are </w:t>
      </w:r>
      <w:proofErr w:type="spellStart"/>
      <w:r w:rsidRPr="003C05E7">
        <w:rPr>
          <w:rFonts w:ascii="Times New Roman" w:hAnsi="Times New Roman" w:cs="Times New Roman"/>
          <w:sz w:val="20"/>
          <w:szCs w:val="20"/>
        </w:rPr>
        <w:t>summarised</w:t>
      </w:r>
      <w:proofErr w:type="spellEnd"/>
      <w:r w:rsidRPr="003C05E7">
        <w:rPr>
          <w:rFonts w:ascii="Times New Roman" w:hAnsi="Times New Roman" w:cs="Times New Roman"/>
          <w:sz w:val="20"/>
          <w:szCs w:val="20"/>
        </w:rPr>
        <w:t xml:space="preserve"> in Table 8, and the total dose is </w:t>
      </w:r>
      <w:proofErr w:type="spellStart"/>
      <w:r w:rsidRPr="003C05E7">
        <w:rPr>
          <w:rFonts w:ascii="Times New Roman" w:hAnsi="Times New Roman" w:cs="Times New Roman"/>
          <w:sz w:val="20"/>
          <w:szCs w:val="20"/>
        </w:rPr>
        <w:t>summarised</w:t>
      </w:r>
      <w:proofErr w:type="spellEnd"/>
      <w:r w:rsidRPr="003C05E7">
        <w:rPr>
          <w:rFonts w:ascii="Times New Roman" w:hAnsi="Times New Roman" w:cs="Times New Roman"/>
          <w:sz w:val="20"/>
          <w:szCs w:val="20"/>
        </w:rPr>
        <w:t xml:space="preserve"> in Table 7. The total excess cancer risk was reduced from 3.306E-03 (11.02× WHO limit) under the unmitigated condition to 4.795E-04 at t = 0 years under the cover scenario — a reduction of 85.5%. However, a critical finding is that the cancer risk continues to exceed the WHO-recommended upper </w:t>
      </w:r>
      <w:r w:rsidRPr="003C05E7">
        <w:rPr>
          <w:rFonts w:ascii="Times New Roman" w:hAnsi="Times New Roman" w:cs="Times New Roman"/>
          <w:sz w:val="20"/>
          <w:szCs w:val="20"/>
        </w:rPr>
        <w:t>limit of 3.00 × 10</w:t>
      </w:r>
      <w:r w:rsidRPr="003C05E7">
        <w:rPr>
          <w:rFonts w:ascii="Times New Roman" w:eastAsia="MS Gothic" w:hAnsi="Times New Roman" w:cs="Times New Roman"/>
          <w:sz w:val="20"/>
          <w:szCs w:val="20"/>
        </w:rPr>
        <w:t>⁻⁴</w:t>
      </w:r>
      <w:r w:rsidRPr="003C05E7">
        <w:rPr>
          <w:rFonts w:ascii="Times New Roman" w:hAnsi="Times New Roman" w:cs="Times New Roman"/>
          <w:sz w:val="20"/>
          <w:szCs w:val="20"/>
        </w:rPr>
        <w:t xml:space="preserve"> throughout the simulation horizon. At t = 0, the cover risk (4.795E-04) remains 1.60× the WHO limit. This is entirely attributable to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Ra-driven radon inhalation: unlike external gamma irradiation and ingestion pathways — which are effectively eliminated by the physical soil barrier — radon gas migrates upward through the cover and contributes to inhalation exposure at the surface. This radon breakthrough effect is well documented in the cover-system literature (</w:t>
      </w:r>
      <w:proofErr w:type="spellStart"/>
      <w:r w:rsidRPr="003C05E7">
        <w:rPr>
          <w:rFonts w:ascii="Times New Roman" w:hAnsi="Times New Roman" w:cs="Times New Roman"/>
          <w:sz w:val="20"/>
          <w:szCs w:val="20"/>
        </w:rPr>
        <w:t>Njinga</w:t>
      </w:r>
      <w:proofErr w:type="spellEnd"/>
      <w:r w:rsidRPr="003C05E7">
        <w:rPr>
          <w:rFonts w:ascii="Times New Roman" w:hAnsi="Times New Roman" w:cs="Times New Roman"/>
          <w:sz w:val="20"/>
          <w:szCs w:val="20"/>
        </w:rPr>
        <w:t xml:space="preserve"> &amp; </w:t>
      </w:r>
      <w:proofErr w:type="spellStart"/>
      <w:r w:rsidRPr="003C05E7">
        <w:rPr>
          <w:rFonts w:ascii="Times New Roman" w:hAnsi="Times New Roman" w:cs="Times New Roman"/>
          <w:sz w:val="20"/>
          <w:szCs w:val="20"/>
        </w:rPr>
        <w:t>Tshivhase</w:t>
      </w:r>
      <w:proofErr w:type="spellEnd"/>
      <w:r w:rsidRPr="003C05E7">
        <w:rPr>
          <w:rFonts w:ascii="Times New Roman" w:hAnsi="Times New Roman" w:cs="Times New Roman"/>
          <w:sz w:val="20"/>
          <w:szCs w:val="20"/>
        </w:rPr>
        <w:t xml:space="preserve">, 2018; Abdu et al., 2024) and explains the persistence of above-limit risk despite the dramatic overall reduction. The risk increases further to 1.028E-03 at t = 1000 years (3.43× WHO limit) as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decay chain progeny and residual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Ra reach the surface through long-term transport. These findings indicate that while the 1.25 m clean soil cover constitutes a necessary and effective first remediation step — achieving an 85.5% reduction in cancer risk — it is insufficient alone to bring the site within the WHO acceptable cancer risk threshold. Supplementary measures such as a radon-attenuating cover material, increased cover thickness, or sub-cover ventilation barriers warrant further investigation for this site.</w:t>
      </w:r>
    </w:p>
    <w:p w14:paraId="06AD9F0B" w14:textId="77777777" w:rsidR="00BB2D73" w:rsidRDefault="00BB2D73" w:rsidP="003C05E7">
      <w:pPr>
        <w:spacing w:after="0" w:line="240" w:lineRule="auto"/>
        <w:jc w:val="both"/>
        <w:rPr>
          <w:rFonts w:ascii="Times New Roman" w:eastAsiaTheme="minorEastAsia" w:hAnsi="Times New Roman" w:cs="Times New Roman"/>
          <w:sz w:val="20"/>
          <w:szCs w:val="20"/>
        </w:rPr>
        <w:sectPr w:rsidR="00BB2D73" w:rsidSect="00BB2D73">
          <w:type w:val="continuous"/>
          <w:pgSz w:w="12242" w:h="15842" w:code="1"/>
          <w:pgMar w:top="1440" w:right="1440" w:bottom="1440" w:left="1440" w:header="709" w:footer="709" w:gutter="0"/>
          <w:cols w:num="2" w:space="288"/>
          <w:docGrid w:linePitch="360"/>
        </w:sectPr>
      </w:pPr>
    </w:p>
    <w:p w14:paraId="40BBAC0E" w14:textId="0DF838F4"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7AC47B36" w14:textId="11452D06" w:rsidR="003C05E7" w:rsidRPr="003C05E7" w:rsidRDefault="003C05E7" w:rsidP="003C05E7">
      <w:pPr>
        <w:spacing w:after="0" w:line="240" w:lineRule="auto"/>
        <w:jc w:val="both"/>
        <w:rPr>
          <w:rFonts w:ascii="Times New Roman" w:eastAsia="Times New Roman" w:hAnsi="Times New Roman" w:cs="Times New Roman"/>
          <w:sz w:val="20"/>
          <w:szCs w:val="20"/>
        </w:rPr>
      </w:pPr>
      <w:r w:rsidRPr="003C05E7">
        <w:rPr>
          <w:rFonts w:ascii="Times New Roman" w:hAnsi="Times New Roman" w:cs="Times New Roman"/>
          <w:b/>
          <w:bCs/>
          <w:sz w:val="20"/>
          <w:szCs w:val="20"/>
        </w:rPr>
        <w:t>Table 8</w:t>
      </w:r>
      <w:r w:rsidR="00BB2D73">
        <w:rPr>
          <w:rFonts w:ascii="Times New Roman" w:hAnsi="Times New Roman" w:cs="Times New Roman"/>
          <w:b/>
          <w:bCs/>
          <w:sz w:val="20"/>
          <w:szCs w:val="20"/>
        </w:rPr>
        <w:t>:</w:t>
      </w:r>
      <w:r w:rsidRPr="003C05E7">
        <w:rPr>
          <w:rFonts w:ascii="Times New Roman" w:hAnsi="Times New Roman" w:cs="Times New Roman"/>
          <w:b/>
          <w:bCs/>
          <w:sz w:val="20"/>
          <w:szCs w:val="20"/>
        </w:rPr>
        <w:t xml:space="preserve"> Total Excess Cancer Risk </w:t>
      </w:r>
      <w:proofErr w:type="spellStart"/>
      <w:proofErr w:type="gramStart"/>
      <w:r w:rsidRPr="003C05E7">
        <w:rPr>
          <w:rFonts w:ascii="Times New Roman" w:hAnsi="Times New Roman" w:cs="Times New Roman"/>
          <w:b/>
          <w:bCs/>
          <w:sz w:val="20"/>
          <w:szCs w:val="20"/>
        </w:rPr>
        <w:t>CNRSI</w:t>
      </w:r>
      <w:proofErr w:type="spellEnd"/>
      <w:r w:rsidRPr="003C05E7">
        <w:rPr>
          <w:rFonts w:ascii="Times New Roman" w:hAnsi="Times New Roman" w:cs="Times New Roman"/>
          <w:b/>
          <w:bCs/>
          <w:sz w:val="20"/>
          <w:szCs w:val="20"/>
        </w:rPr>
        <w:t>(</w:t>
      </w:r>
      <w:proofErr w:type="spellStart"/>
      <w:proofErr w:type="gramEnd"/>
      <w:r w:rsidRPr="003C05E7">
        <w:rPr>
          <w:rFonts w:ascii="Times New Roman" w:hAnsi="Times New Roman" w:cs="Times New Roman"/>
          <w:b/>
          <w:bCs/>
          <w:sz w:val="20"/>
          <w:szCs w:val="20"/>
        </w:rPr>
        <w:t>i</w:t>
      </w:r>
      <w:proofErr w:type="spellEnd"/>
      <w:r w:rsidRPr="003C05E7">
        <w:rPr>
          <w:rFonts w:ascii="Times New Roman" w:hAnsi="Times New Roman" w:cs="Times New Roman"/>
          <w:b/>
          <w:bCs/>
          <w:sz w:val="20"/>
          <w:szCs w:val="20"/>
        </w:rPr>
        <w:t>, all Pathways, t) for Initially Existent Radionuclides Under the 1.25 m Clean Soil Cover Remediation Scenario</w:t>
      </w:r>
    </w:p>
    <w:tbl>
      <w:tblPr>
        <w:tblStyle w:val="ListTable6Colorful"/>
        <w:tblW w:w="5000" w:type="pct"/>
        <w:tblLook w:val="0620" w:firstRow="1" w:lastRow="0" w:firstColumn="0" w:lastColumn="0" w:noHBand="1" w:noVBand="1"/>
      </w:tblPr>
      <w:tblGrid>
        <w:gridCol w:w="1495"/>
        <w:gridCol w:w="1961"/>
        <w:gridCol w:w="1961"/>
        <w:gridCol w:w="1960"/>
        <w:gridCol w:w="1985"/>
      </w:tblGrid>
      <w:tr w:rsidR="003C05E7" w:rsidRPr="003C05E7" w14:paraId="26D03576" w14:textId="77777777" w:rsidTr="003C05E7">
        <w:trPr>
          <w:cnfStyle w:val="100000000000" w:firstRow="1" w:lastRow="0" w:firstColumn="0" w:lastColumn="0" w:oddVBand="0" w:evenVBand="0" w:oddHBand="0" w:evenHBand="0" w:firstRowFirstColumn="0" w:firstRowLastColumn="0" w:lastRowFirstColumn="0" w:lastRowLastColumn="0"/>
          <w:trHeight w:val="230"/>
        </w:trPr>
        <w:tc>
          <w:tcPr>
            <w:tcW w:w="798" w:type="pct"/>
            <w:tcBorders>
              <w:top w:val="single" w:sz="4" w:space="0" w:color="000000" w:themeColor="text1"/>
              <w:left w:val="nil"/>
              <w:right w:val="nil"/>
            </w:tcBorders>
            <w:hideMark/>
          </w:tcPr>
          <w:p w14:paraId="5EB7B68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Time (</w:t>
            </w:r>
            <w:proofErr w:type="spellStart"/>
            <w:r w:rsidRPr="003C05E7">
              <w:rPr>
                <w:rFonts w:ascii="Times New Roman" w:hAnsi="Times New Roman" w:cs="Times New Roman"/>
                <w:bCs w:val="0"/>
                <w:color w:val="000000"/>
                <w:sz w:val="20"/>
                <w:szCs w:val="20"/>
              </w:rPr>
              <w:t>yr</w:t>
            </w:r>
            <w:proofErr w:type="spellEnd"/>
            <w:r w:rsidRPr="003C05E7">
              <w:rPr>
                <w:rFonts w:ascii="Times New Roman" w:hAnsi="Times New Roman" w:cs="Times New Roman"/>
                <w:bCs w:val="0"/>
                <w:color w:val="000000"/>
                <w:sz w:val="20"/>
                <w:szCs w:val="20"/>
              </w:rPr>
              <w:t>)</w:t>
            </w:r>
          </w:p>
        </w:tc>
        <w:tc>
          <w:tcPr>
            <w:tcW w:w="1047" w:type="pct"/>
            <w:tcBorders>
              <w:top w:val="single" w:sz="4" w:space="0" w:color="000000" w:themeColor="text1"/>
              <w:left w:val="nil"/>
              <w:right w:val="nil"/>
            </w:tcBorders>
            <w:hideMark/>
          </w:tcPr>
          <w:p w14:paraId="48E3742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⁴⁰K</w:t>
            </w:r>
          </w:p>
        </w:tc>
        <w:tc>
          <w:tcPr>
            <w:tcW w:w="1047" w:type="pct"/>
            <w:tcBorders>
              <w:top w:val="single" w:sz="4" w:space="0" w:color="000000" w:themeColor="text1"/>
              <w:left w:val="nil"/>
              <w:right w:val="nil"/>
            </w:tcBorders>
            <w:hideMark/>
          </w:tcPr>
          <w:p w14:paraId="58ECAF3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²²</w:t>
            </w:r>
            <w:r w:rsidRPr="003C05E7">
              <w:rPr>
                <w:rFonts w:ascii="Times New Roman" w:eastAsia="MS Gothic" w:hAnsi="Times New Roman" w:cs="Times New Roman"/>
                <w:bCs w:val="0"/>
                <w:color w:val="000000"/>
                <w:sz w:val="20"/>
                <w:szCs w:val="20"/>
              </w:rPr>
              <w:t>⁶</w:t>
            </w:r>
            <w:r w:rsidRPr="003C05E7">
              <w:rPr>
                <w:rFonts w:ascii="Times New Roman" w:hAnsi="Times New Roman" w:cs="Times New Roman"/>
                <w:bCs w:val="0"/>
                <w:color w:val="000000"/>
                <w:sz w:val="20"/>
                <w:szCs w:val="20"/>
              </w:rPr>
              <w:t>Ra</w:t>
            </w:r>
          </w:p>
        </w:tc>
        <w:tc>
          <w:tcPr>
            <w:tcW w:w="1047" w:type="pct"/>
            <w:tcBorders>
              <w:top w:val="single" w:sz="4" w:space="0" w:color="000000" w:themeColor="text1"/>
              <w:left w:val="nil"/>
              <w:right w:val="nil"/>
            </w:tcBorders>
            <w:hideMark/>
          </w:tcPr>
          <w:p w14:paraId="0B0B057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²³²Th</w:t>
            </w:r>
          </w:p>
        </w:tc>
        <w:tc>
          <w:tcPr>
            <w:tcW w:w="1060" w:type="pct"/>
            <w:tcBorders>
              <w:top w:val="single" w:sz="4" w:space="0" w:color="000000" w:themeColor="text1"/>
              <w:left w:val="nil"/>
              <w:right w:val="nil"/>
            </w:tcBorders>
            <w:hideMark/>
          </w:tcPr>
          <w:p w14:paraId="40DE2F7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val="0"/>
                <w:color w:val="000000"/>
                <w:sz w:val="20"/>
                <w:szCs w:val="20"/>
              </w:rPr>
              <w:t>Total</w:t>
            </w:r>
          </w:p>
        </w:tc>
      </w:tr>
      <w:tr w:rsidR="003C05E7" w:rsidRPr="003C05E7" w14:paraId="57F989DE" w14:textId="77777777" w:rsidTr="003C05E7">
        <w:trPr>
          <w:trHeight w:val="230"/>
        </w:trPr>
        <w:tc>
          <w:tcPr>
            <w:tcW w:w="798" w:type="pct"/>
            <w:tcBorders>
              <w:top w:val="nil"/>
              <w:left w:val="nil"/>
              <w:bottom w:val="nil"/>
              <w:right w:val="nil"/>
            </w:tcBorders>
            <w:hideMark/>
          </w:tcPr>
          <w:p w14:paraId="1C9FB70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0</w:t>
            </w:r>
          </w:p>
        </w:tc>
        <w:tc>
          <w:tcPr>
            <w:tcW w:w="1047" w:type="pct"/>
            <w:tcBorders>
              <w:top w:val="nil"/>
              <w:left w:val="nil"/>
              <w:bottom w:val="nil"/>
              <w:right w:val="nil"/>
            </w:tcBorders>
            <w:hideMark/>
          </w:tcPr>
          <w:p w14:paraId="363E36A1"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5.809E-10</w:t>
            </w:r>
          </w:p>
        </w:tc>
        <w:tc>
          <w:tcPr>
            <w:tcW w:w="1047" w:type="pct"/>
            <w:tcBorders>
              <w:top w:val="nil"/>
              <w:left w:val="nil"/>
              <w:bottom w:val="nil"/>
              <w:right w:val="nil"/>
            </w:tcBorders>
            <w:hideMark/>
          </w:tcPr>
          <w:p w14:paraId="0BC28E3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4.795E-04</w:t>
            </w:r>
          </w:p>
        </w:tc>
        <w:tc>
          <w:tcPr>
            <w:tcW w:w="1047" w:type="pct"/>
            <w:tcBorders>
              <w:top w:val="nil"/>
              <w:left w:val="nil"/>
              <w:bottom w:val="nil"/>
              <w:right w:val="nil"/>
            </w:tcBorders>
            <w:hideMark/>
          </w:tcPr>
          <w:p w14:paraId="41D691A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1.984E-09</w:t>
            </w:r>
          </w:p>
        </w:tc>
        <w:tc>
          <w:tcPr>
            <w:tcW w:w="1060" w:type="pct"/>
            <w:tcBorders>
              <w:top w:val="nil"/>
              <w:left w:val="nil"/>
              <w:bottom w:val="nil"/>
              <w:right w:val="nil"/>
            </w:tcBorders>
            <w:hideMark/>
          </w:tcPr>
          <w:p w14:paraId="5F9E539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4.795E-04</w:t>
            </w:r>
          </w:p>
        </w:tc>
      </w:tr>
      <w:tr w:rsidR="003C05E7" w:rsidRPr="003C05E7" w14:paraId="0C47C184" w14:textId="77777777" w:rsidTr="003C05E7">
        <w:trPr>
          <w:trHeight w:val="230"/>
        </w:trPr>
        <w:tc>
          <w:tcPr>
            <w:tcW w:w="798" w:type="pct"/>
            <w:tcBorders>
              <w:top w:val="nil"/>
              <w:left w:val="nil"/>
              <w:bottom w:val="nil"/>
              <w:right w:val="nil"/>
            </w:tcBorders>
            <w:hideMark/>
          </w:tcPr>
          <w:p w14:paraId="1B2AE477"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w:t>
            </w:r>
          </w:p>
        </w:tc>
        <w:tc>
          <w:tcPr>
            <w:tcW w:w="1047" w:type="pct"/>
            <w:tcBorders>
              <w:top w:val="nil"/>
              <w:left w:val="nil"/>
              <w:bottom w:val="nil"/>
              <w:right w:val="nil"/>
            </w:tcBorders>
            <w:hideMark/>
          </w:tcPr>
          <w:p w14:paraId="578B626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5.862E-10</w:t>
            </w:r>
          </w:p>
        </w:tc>
        <w:tc>
          <w:tcPr>
            <w:tcW w:w="1047" w:type="pct"/>
            <w:tcBorders>
              <w:top w:val="nil"/>
              <w:left w:val="nil"/>
              <w:bottom w:val="nil"/>
              <w:right w:val="nil"/>
            </w:tcBorders>
            <w:hideMark/>
          </w:tcPr>
          <w:p w14:paraId="194AD39A"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4.798E-04</w:t>
            </w:r>
          </w:p>
        </w:tc>
        <w:tc>
          <w:tcPr>
            <w:tcW w:w="1047" w:type="pct"/>
            <w:tcBorders>
              <w:top w:val="nil"/>
              <w:left w:val="nil"/>
              <w:bottom w:val="nil"/>
              <w:right w:val="nil"/>
            </w:tcBorders>
            <w:hideMark/>
          </w:tcPr>
          <w:p w14:paraId="66A467A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2.092E-09</w:t>
            </w:r>
          </w:p>
        </w:tc>
        <w:tc>
          <w:tcPr>
            <w:tcW w:w="1060" w:type="pct"/>
            <w:tcBorders>
              <w:top w:val="nil"/>
              <w:left w:val="nil"/>
              <w:bottom w:val="nil"/>
              <w:right w:val="nil"/>
            </w:tcBorders>
            <w:hideMark/>
          </w:tcPr>
          <w:p w14:paraId="4C2A428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4.798E-04</w:t>
            </w:r>
          </w:p>
        </w:tc>
      </w:tr>
      <w:tr w:rsidR="003C05E7" w:rsidRPr="003C05E7" w14:paraId="1F828CB2" w14:textId="77777777" w:rsidTr="003C05E7">
        <w:trPr>
          <w:trHeight w:val="230"/>
        </w:trPr>
        <w:tc>
          <w:tcPr>
            <w:tcW w:w="798" w:type="pct"/>
            <w:tcBorders>
              <w:top w:val="nil"/>
              <w:left w:val="nil"/>
              <w:bottom w:val="nil"/>
              <w:right w:val="nil"/>
            </w:tcBorders>
            <w:hideMark/>
          </w:tcPr>
          <w:p w14:paraId="37D7917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w:t>
            </w:r>
          </w:p>
        </w:tc>
        <w:tc>
          <w:tcPr>
            <w:tcW w:w="1047" w:type="pct"/>
            <w:tcBorders>
              <w:top w:val="nil"/>
              <w:left w:val="nil"/>
              <w:bottom w:val="nil"/>
              <w:right w:val="nil"/>
            </w:tcBorders>
            <w:hideMark/>
          </w:tcPr>
          <w:p w14:paraId="63F431A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6.358E-10</w:t>
            </w:r>
          </w:p>
        </w:tc>
        <w:tc>
          <w:tcPr>
            <w:tcW w:w="1047" w:type="pct"/>
            <w:tcBorders>
              <w:top w:val="nil"/>
              <w:left w:val="nil"/>
              <w:bottom w:val="nil"/>
              <w:right w:val="nil"/>
            </w:tcBorders>
            <w:hideMark/>
          </w:tcPr>
          <w:p w14:paraId="2A21F96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4.823E-04</w:t>
            </w:r>
          </w:p>
        </w:tc>
        <w:tc>
          <w:tcPr>
            <w:tcW w:w="1047" w:type="pct"/>
            <w:tcBorders>
              <w:top w:val="nil"/>
              <w:left w:val="nil"/>
              <w:bottom w:val="nil"/>
              <w:right w:val="nil"/>
            </w:tcBorders>
            <w:hideMark/>
          </w:tcPr>
          <w:p w14:paraId="746A02E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2.892E-09</w:t>
            </w:r>
          </w:p>
        </w:tc>
        <w:tc>
          <w:tcPr>
            <w:tcW w:w="1060" w:type="pct"/>
            <w:tcBorders>
              <w:top w:val="nil"/>
              <w:left w:val="nil"/>
              <w:bottom w:val="nil"/>
              <w:right w:val="nil"/>
            </w:tcBorders>
            <w:hideMark/>
          </w:tcPr>
          <w:p w14:paraId="21FDC530"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4.823E-04</w:t>
            </w:r>
          </w:p>
        </w:tc>
      </w:tr>
      <w:tr w:rsidR="003C05E7" w:rsidRPr="003C05E7" w14:paraId="25E12B42" w14:textId="77777777" w:rsidTr="003C05E7">
        <w:trPr>
          <w:trHeight w:val="230"/>
        </w:trPr>
        <w:tc>
          <w:tcPr>
            <w:tcW w:w="798" w:type="pct"/>
            <w:tcBorders>
              <w:top w:val="nil"/>
              <w:left w:val="nil"/>
              <w:bottom w:val="nil"/>
              <w:right w:val="nil"/>
            </w:tcBorders>
            <w:hideMark/>
          </w:tcPr>
          <w:p w14:paraId="6E5C3C5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30</w:t>
            </w:r>
          </w:p>
        </w:tc>
        <w:tc>
          <w:tcPr>
            <w:tcW w:w="1047" w:type="pct"/>
            <w:tcBorders>
              <w:top w:val="nil"/>
              <w:left w:val="nil"/>
              <w:bottom w:val="nil"/>
              <w:right w:val="nil"/>
            </w:tcBorders>
            <w:hideMark/>
          </w:tcPr>
          <w:p w14:paraId="6384A25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7.618E-10</w:t>
            </w:r>
          </w:p>
        </w:tc>
        <w:tc>
          <w:tcPr>
            <w:tcW w:w="1047" w:type="pct"/>
            <w:tcBorders>
              <w:top w:val="nil"/>
              <w:left w:val="nil"/>
              <w:bottom w:val="nil"/>
              <w:right w:val="nil"/>
            </w:tcBorders>
            <w:hideMark/>
          </w:tcPr>
          <w:p w14:paraId="725596E2"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4.878E-04</w:t>
            </w:r>
          </w:p>
        </w:tc>
        <w:tc>
          <w:tcPr>
            <w:tcW w:w="1047" w:type="pct"/>
            <w:tcBorders>
              <w:top w:val="nil"/>
              <w:left w:val="nil"/>
              <w:bottom w:val="nil"/>
              <w:right w:val="nil"/>
            </w:tcBorders>
            <w:hideMark/>
          </w:tcPr>
          <w:p w14:paraId="588A58C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3.857E-09</w:t>
            </w:r>
          </w:p>
        </w:tc>
        <w:tc>
          <w:tcPr>
            <w:tcW w:w="1060" w:type="pct"/>
            <w:tcBorders>
              <w:top w:val="nil"/>
              <w:left w:val="nil"/>
              <w:bottom w:val="nil"/>
              <w:right w:val="nil"/>
            </w:tcBorders>
            <w:hideMark/>
          </w:tcPr>
          <w:p w14:paraId="4E7CD41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4.878E-04</w:t>
            </w:r>
          </w:p>
        </w:tc>
      </w:tr>
      <w:tr w:rsidR="003C05E7" w:rsidRPr="003C05E7" w14:paraId="6B0070FB" w14:textId="77777777" w:rsidTr="003C05E7">
        <w:trPr>
          <w:trHeight w:val="230"/>
        </w:trPr>
        <w:tc>
          <w:tcPr>
            <w:tcW w:w="798" w:type="pct"/>
            <w:tcBorders>
              <w:top w:val="nil"/>
              <w:left w:val="nil"/>
              <w:bottom w:val="nil"/>
              <w:right w:val="nil"/>
            </w:tcBorders>
            <w:hideMark/>
          </w:tcPr>
          <w:p w14:paraId="4A453F98"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100</w:t>
            </w:r>
          </w:p>
        </w:tc>
        <w:tc>
          <w:tcPr>
            <w:tcW w:w="1047" w:type="pct"/>
            <w:tcBorders>
              <w:top w:val="nil"/>
              <w:left w:val="nil"/>
              <w:bottom w:val="nil"/>
              <w:right w:val="nil"/>
            </w:tcBorders>
            <w:hideMark/>
          </w:tcPr>
          <w:p w14:paraId="5DA58209"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1.434E-09</w:t>
            </w:r>
          </w:p>
        </w:tc>
        <w:tc>
          <w:tcPr>
            <w:tcW w:w="1047" w:type="pct"/>
            <w:tcBorders>
              <w:top w:val="nil"/>
              <w:left w:val="nil"/>
              <w:bottom w:val="nil"/>
              <w:right w:val="nil"/>
            </w:tcBorders>
            <w:hideMark/>
          </w:tcPr>
          <w:p w14:paraId="317A689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5.078E-04</w:t>
            </w:r>
          </w:p>
        </w:tc>
        <w:tc>
          <w:tcPr>
            <w:tcW w:w="1047" w:type="pct"/>
            <w:tcBorders>
              <w:top w:val="nil"/>
              <w:left w:val="nil"/>
              <w:bottom w:val="nil"/>
              <w:right w:val="nil"/>
            </w:tcBorders>
            <w:hideMark/>
          </w:tcPr>
          <w:p w14:paraId="400C249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7.368E-09</w:t>
            </w:r>
          </w:p>
        </w:tc>
        <w:tc>
          <w:tcPr>
            <w:tcW w:w="1060" w:type="pct"/>
            <w:tcBorders>
              <w:top w:val="nil"/>
              <w:left w:val="nil"/>
              <w:bottom w:val="nil"/>
              <w:right w:val="nil"/>
            </w:tcBorders>
            <w:hideMark/>
          </w:tcPr>
          <w:p w14:paraId="2CE5126B"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5.078E-04</w:t>
            </w:r>
          </w:p>
        </w:tc>
      </w:tr>
      <w:tr w:rsidR="003C05E7" w:rsidRPr="003C05E7" w14:paraId="67FF2631" w14:textId="77777777" w:rsidTr="003C05E7">
        <w:trPr>
          <w:trHeight w:val="230"/>
        </w:trPr>
        <w:tc>
          <w:tcPr>
            <w:tcW w:w="798" w:type="pct"/>
            <w:tcBorders>
              <w:top w:val="nil"/>
              <w:left w:val="nil"/>
              <w:bottom w:val="nil"/>
              <w:right w:val="nil"/>
            </w:tcBorders>
            <w:hideMark/>
          </w:tcPr>
          <w:p w14:paraId="0AFB2C6C"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300</w:t>
            </w:r>
          </w:p>
        </w:tc>
        <w:tc>
          <w:tcPr>
            <w:tcW w:w="1047" w:type="pct"/>
            <w:tcBorders>
              <w:top w:val="nil"/>
              <w:left w:val="nil"/>
              <w:bottom w:val="nil"/>
              <w:right w:val="nil"/>
            </w:tcBorders>
            <w:hideMark/>
          </w:tcPr>
          <w:p w14:paraId="60E3D99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8.741E-09</w:t>
            </w:r>
          </w:p>
        </w:tc>
        <w:tc>
          <w:tcPr>
            <w:tcW w:w="1047" w:type="pct"/>
            <w:tcBorders>
              <w:top w:val="nil"/>
              <w:left w:val="nil"/>
              <w:bottom w:val="nil"/>
              <w:right w:val="nil"/>
            </w:tcBorders>
            <w:hideMark/>
          </w:tcPr>
          <w:p w14:paraId="2020469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5.337E-04</w:t>
            </w:r>
          </w:p>
        </w:tc>
        <w:tc>
          <w:tcPr>
            <w:tcW w:w="1047" w:type="pct"/>
            <w:tcBorders>
              <w:top w:val="nil"/>
              <w:left w:val="nil"/>
              <w:bottom w:val="nil"/>
              <w:right w:val="nil"/>
            </w:tcBorders>
            <w:hideMark/>
          </w:tcPr>
          <w:p w14:paraId="1140A73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4.586E-08</w:t>
            </w:r>
          </w:p>
        </w:tc>
        <w:tc>
          <w:tcPr>
            <w:tcW w:w="1060" w:type="pct"/>
            <w:tcBorders>
              <w:top w:val="nil"/>
              <w:left w:val="nil"/>
              <w:bottom w:val="nil"/>
              <w:right w:val="nil"/>
            </w:tcBorders>
            <w:hideMark/>
          </w:tcPr>
          <w:p w14:paraId="785B775D"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5.338E-04</w:t>
            </w:r>
          </w:p>
        </w:tc>
      </w:tr>
      <w:tr w:rsidR="003C05E7" w:rsidRPr="003C05E7" w14:paraId="1B5303FA" w14:textId="77777777" w:rsidTr="003C05E7">
        <w:trPr>
          <w:trHeight w:val="230"/>
        </w:trPr>
        <w:tc>
          <w:tcPr>
            <w:tcW w:w="798" w:type="pct"/>
            <w:tcBorders>
              <w:top w:val="nil"/>
              <w:left w:val="nil"/>
              <w:bottom w:val="single" w:sz="4" w:space="0" w:color="000000" w:themeColor="text1"/>
              <w:right w:val="nil"/>
            </w:tcBorders>
            <w:hideMark/>
          </w:tcPr>
          <w:p w14:paraId="426905EF"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1000</w:t>
            </w:r>
          </w:p>
        </w:tc>
        <w:tc>
          <w:tcPr>
            <w:tcW w:w="1047" w:type="pct"/>
            <w:tcBorders>
              <w:top w:val="nil"/>
              <w:left w:val="nil"/>
              <w:bottom w:val="single" w:sz="4" w:space="0" w:color="000000" w:themeColor="text1"/>
              <w:right w:val="nil"/>
            </w:tcBorders>
            <w:hideMark/>
          </w:tcPr>
          <w:p w14:paraId="52157D63"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2.953E-04</w:t>
            </w:r>
          </w:p>
        </w:tc>
        <w:tc>
          <w:tcPr>
            <w:tcW w:w="1047" w:type="pct"/>
            <w:tcBorders>
              <w:top w:val="nil"/>
              <w:left w:val="nil"/>
              <w:bottom w:val="single" w:sz="4" w:space="0" w:color="000000" w:themeColor="text1"/>
              <w:right w:val="nil"/>
            </w:tcBorders>
            <w:hideMark/>
          </w:tcPr>
          <w:p w14:paraId="1D78177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4.561E-04</w:t>
            </w:r>
          </w:p>
        </w:tc>
        <w:tc>
          <w:tcPr>
            <w:tcW w:w="1047" w:type="pct"/>
            <w:tcBorders>
              <w:top w:val="nil"/>
              <w:left w:val="nil"/>
              <w:bottom w:val="single" w:sz="4" w:space="0" w:color="000000" w:themeColor="text1"/>
              <w:right w:val="nil"/>
            </w:tcBorders>
            <w:hideMark/>
          </w:tcPr>
          <w:p w14:paraId="2328AAD6"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color w:val="000000"/>
                <w:sz w:val="20"/>
                <w:szCs w:val="20"/>
              </w:rPr>
              <w:t>2.770E-04</w:t>
            </w:r>
          </w:p>
        </w:tc>
        <w:tc>
          <w:tcPr>
            <w:tcW w:w="1060" w:type="pct"/>
            <w:tcBorders>
              <w:top w:val="nil"/>
              <w:left w:val="nil"/>
              <w:bottom w:val="single" w:sz="4" w:space="0" w:color="000000" w:themeColor="text1"/>
              <w:right w:val="nil"/>
            </w:tcBorders>
            <w:hideMark/>
          </w:tcPr>
          <w:p w14:paraId="6A2EAA95" w14:textId="77777777" w:rsidR="003C05E7" w:rsidRPr="003C05E7" w:rsidRDefault="003C05E7" w:rsidP="003C05E7">
            <w:pPr>
              <w:rPr>
                <w:rFonts w:ascii="Times New Roman" w:hAnsi="Times New Roman" w:cs="Times New Roman"/>
                <w:color w:val="000000"/>
                <w:sz w:val="20"/>
                <w:szCs w:val="20"/>
              </w:rPr>
            </w:pPr>
            <w:r w:rsidRPr="003C05E7">
              <w:rPr>
                <w:rFonts w:ascii="Times New Roman" w:hAnsi="Times New Roman" w:cs="Times New Roman"/>
                <w:bCs/>
                <w:color w:val="000000"/>
                <w:sz w:val="20"/>
                <w:szCs w:val="20"/>
              </w:rPr>
              <w:t>1.028E-03</w:t>
            </w:r>
          </w:p>
        </w:tc>
      </w:tr>
    </w:tbl>
    <w:p w14:paraId="5ACC4C3C" w14:textId="25D20CB9" w:rsidR="003C05E7" w:rsidRPr="003C05E7" w:rsidRDefault="003C05E7" w:rsidP="003C05E7">
      <w:pPr>
        <w:spacing w:after="0" w:line="240" w:lineRule="auto"/>
        <w:jc w:val="both"/>
        <w:rPr>
          <w:rFonts w:ascii="Times New Roman" w:eastAsiaTheme="minorEastAsia" w:hAnsi="Times New Roman" w:cs="Times New Roman"/>
          <w:sz w:val="20"/>
          <w:szCs w:val="20"/>
          <w:lang w:val="zh-CN" w:eastAsia="zh-CN"/>
        </w:rPr>
      </w:pPr>
      <w:r w:rsidRPr="003C05E7">
        <w:rPr>
          <w:rFonts w:ascii="Times New Roman" w:hAnsi="Times New Roman" w:cs="Times New Roman"/>
          <w:i/>
          <w:iCs/>
          <w:sz w:val="20"/>
          <w:szCs w:val="20"/>
        </w:rPr>
        <w:t>Note</w:t>
      </w:r>
      <w:r w:rsidR="00974B3D">
        <w:rPr>
          <w:rFonts w:ascii="Times New Roman" w:hAnsi="Times New Roman" w:cs="Times New Roman"/>
          <w:i/>
          <w:iCs/>
          <w:sz w:val="20"/>
          <w:szCs w:val="20"/>
        </w:rPr>
        <w:t>:</w:t>
      </w:r>
      <w:r w:rsidRPr="003C05E7">
        <w:rPr>
          <w:rFonts w:ascii="Times New Roman" w:hAnsi="Times New Roman" w:cs="Times New Roman"/>
          <w:i/>
          <w:iCs/>
          <w:sz w:val="20"/>
          <w:szCs w:val="20"/>
        </w:rPr>
        <w:t xml:space="preserve"> Values are </w:t>
      </w:r>
      <w:proofErr w:type="spellStart"/>
      <w:proofErr w:type="gramStart"/>
      <w:r w:rsidRPr="003C05E7">
        <w:rPr>
          <w:rFonts w:ascii="Times New Roman" w:hAnsi="Times New Roman" w:cs="Times New Roman"/>
          <w:i/>
          <w:iCs/>
          <w:sz w:val="20"/>
          <w:szCs w:val="20"/>
        </w:rPr>
        <w:t>CNRSI</w:t>
      </w:r>
      <w:proofErr w:type="spellEnd"/>
      <w:r w:rsidRPr="003C05E7">
        <w:rPr>
          <w:rFonts w:ascii="Times New Roman" w:hAnsi="Times New Roman" w:cs="Times New Roman"/>
          <w:i/>
          <w:iCs/>
          <w:sz w:val="20"/>
          <w:szCs w:val="20"/>
        </w:rPr>
        <w:t>(</w:t>
      </w:r>
      <w:proofErr w:type="spellStart"/>
      <w:proofErr w:type="gramEnd"/>
      <w:r w:rsidRPr="003C05E7">
        <w:rPr>
          <w:rFonts w:ascii="Times New Roman" w:hAnsi="Times New Roman" w:cs="Times New Roman"/>
          <w:i/>
          <w:iCs/>
          <w:sz w:val="20"/>
          <w:szCs w:val="20"/>
        </w:rPr>
        <w:t>i</w:t>
      </w:r>
      <w:proofErr w:type="spellEnd"/>
      <w:r w:rsidRPr="003C05E7">
        <w:rPr>
          <w:rFonts w:ascii="Times New Roman" w:hAnsi="Times New Roman" w:cs="Times New Roman"/>
          <w:i/>
          <w:iCs/>
          <w:sz w:val="20"/>
          <w:szCs w:val="20"/>
        </w:rPr>
        <w:t xml:space="preserve">, all </w:t>
      </w:r>
      <w:r w:rsidR="00974B3D" w:rsidRPr="003C05E7">
        <w:rPr>
          <w:rFonts w:ascii="Times New Roman" w:hAnsi="Times New Roman" w:cs="Times New Roman"/>
          <w:i/>
          <w:iCs/>
          <w:sz w:val="20"/>
          <w:szCs w:val="20"/>
        </w:rPr>
        <w:t>Pathways</w:t>
      </w:r>
      <w:r w:rsidRPr="003C05E7">
        <w:rPr>
          <w:rFonts w:ascii="Times New Roman" w:hAnsi="Times New Roman" w:cs="Times New Roman"/>
          <w:i/>
          <w:iCs/>
          <w:sz w:val="20"/>
          <w:szCs w:val="20"/>
        </w:rPr>
        <w:t xml:space="preserve">, t) from RESRAD-Onsite 7.2 </w:t>
      </w:r>
      <w:r w:rsidR="00974B3D" w:rsidRPr="003C05E7">
        <w:rPr>
          <w:rFonts w:ascii="Times New Roman" w:hAnsi="Times New Roman" w:cs="Times New Roman"/>
          <w:i/>
          <w:iCs/>
          <w:sz w:val="20"/>
          <w:szCs w:val="20"/>
        </w:rPr>
        <w:t xml:space="preserve">Output </w:t>
      </w:r>
      <w:r w:rsidRPr="003C05E7">
        <w:rPr>
          <w:rFonts w:ascii="Times New Roman" w:hAnsi="Times New Roman" w:cs="Times New Roman"/>
          <w:i/>
          <w:iCs/>
          <w:sz w:val="20"/>
          <w:szCs w:val="20"/>
        </w:rPr>
        <w:t>(</w:t>
      </w:r>
      <w:r w:rsidR="00974B3D" w:rsidRPr="003C05E7">
        <w:rPr>
          <w:rFonts w:ascii="Times New Roman" w:hAnsi="Times New Roman" w:cs="Times New Roman"/>
          <w:i/>
          <w:iCs/>
          <w:sz w:val="20"/>
          <w:szCs w:val="20"/>
        </w:rPr>
        <w:t>Cover Scenario</w:t>
      </w:r>
      <w:r w:rsidRPr="003C05E7">
        <w:rPr>
          <w:rFonts w:ascii="Times New Roman" w:hAnsi="Times New Roman" w:cs="Times New Roman"/>
          <w:i/>
          <w:iCs/>
          <w:sz w:val="20"/>
          <w:szCs w:val="20"/>
        </w:rPr>
        <w:t xml:space="preserve">, </w:t>
      </w:r>
      <w:r w:rsidR="00974B3D" w:rsidRPr="003C05E7">
        <w:rPr>
          <w:rFonts w:ascii="Times New Roman" w:hAnsi="Times New Roman" w:cs="Times New Roman"/>
          <w:i/>
          <w:iCs/>
          <w:sz w:val="20"/>
          <w:szCs w:val="20"/>
        </w:rPr>
        <w:t xml:space="preserve">Cover Depth </w:t>
      </w:r>
      <w:r w:rsidRPr="003C05E7">
        <w:rPr>
          <w:rFonts w:ascii="Times New Roman" w:hAnsi="Times New Roman" w:cs="Times New Roman"/>
          <w:i/>
          <w:iCs/>
          <w:sz w:val="20"/>
          <w:szCs w:val="20"/>
        </w:rPr>
        <w:t xml:space="preserve">= 1.25 m). ²³²Th </w:t>
      </w:r>
      <w:r w:rsidR="00974B3D" w:rsidRPr="003C05E7">
        <w:rPr>
          <w:rFonts w:ascii="Times New Roman" w:hAnsi="Times New Roman" w:cs="Times New Roman"/>
          <w:i/>
          <w:iCs/>
          <w:sz w:val="20"/>
          <w:szCs w:val="20"/>
        </w:rPr>
        <w:t xml:space="preserve">Values Include Contributions </w:t>
      </w:r>
      <w:r w:rsidRPr="003C05E7">
        <w:rPr>
          <w:rFonts w:ascii="Times New Roman" w:hAnsi="Times New Roman" w:cs="Times New Roman"/>
          <w:i/>
          <w:iCs/>
          <w:sz w:val="20"/>
          <w:szCs w:val="20"/>
        </w:rPr>
        <w:t xml:space="preserve">from </w:t>
      </w:r>
      <w:r w:rsidR="00974B3D" w:rsidRPr="003C05E7">
        <w:rPr>
          <w:rFonts w:ascii="Times New Roman" w:hAnsi="Times New Roman" w:cs="Times New Roman"/>
          <w:i/>
          <w:iCs/>
          <w:sz w:val="20"/>
          <w:szCs w:val="20"/>
        </w:rPr>
        <w:t xml:space="preserve">Decay Daughters </w:t>
      </w:r>
      <w:r w:rsidRPr="003C05E7">
        <w:rPr>
          <w:rFonts w:ascii="Times New Roman" w:hAnsi="Times New Roman" w:cs="Times New Roman"/>
          <w:i/>
          <w:iCs/>
          <w:sz w:val="20"/>
          <w:szCs w:val="20"/>
        </w:rPr>
        <w:t xml:space="preserve">Ra-228 and Th-228. WHO </w:t>
      </w:r>
      <w:r w:rsidR="00974B3D" w:rsidRPr="003C05E7">
        <w:rPr>
          <w:rFonts w:ascii="Times New Roman" w:hAnsi="Times New Roman" w:cs="Times New Roman"/>
          <w:i/>
          <w:iCs/>
          <w:sz w:val="20"/>
          <w:szCs w:val="20"/>
        </w:rPr>
        <w:t xml:space="preserve">Recommended Upper Limit </w:t>
      </w:r>
      <w:r w:rsidRPr="003C05E7">
        <w:rPr>
          <w:rFonts w:ascii="Times New Roman" w:hAnsi="Times New Roman" w:cs="Times New Roman"/>
          <w:i/>
          <w:iCs/>
          <w:sz w:val="20"/>
          <w:szCs w:val="20"/>
        </w:rPr>
        <w:t xml:space="preserve">for </w:t>
      </w:r>
      <w:r w:rsidR="00974B3D" w:rsidRPr="003C05E7">
        <w:rPr>
          <w:rFonts w:ascii="Times New Roman" w:hAnsi="Times New Roman" w:cs="Times New Roman"/>
          <w:i/>
          <w:iCs/>
          <w:sz w:val="20"/>
          <w:szCs w:val="20"/>
        </w:rPr>
        <w:t xml:space="preserve">Excess Lifetime Cancer Risk </w:t>
      </w:r>
      <w:r w:rsidRPr="003C05E7">
        <w:rPr>
          <w:rFonts w:ascii="Times New Roman" w:hAnsi="Times New Roman" w:cs="Times New Roman"/>
          <w:i/>
          <w:iCs/>
          <w:sz w:val="20"/>
          <w:szCs w:val="20"/>
        </w:rPr>
        <w:t>= 3.00 × 10</w:t>
      </w:r>
      <w:r w:rsidRPr="003C05E7">
        <w:rPr>
          <w:rFonts w:ascii="Times New Roman" w:eastAsia="MS Gothic" w:hAnsi="Times New Roman" w:cs="Times New Roman"/>
          <w:i/>
          <w:iCs/>
          <w:sz w:val="20"/>
          <w:szCs w:val="20"/>
        </w:rPr>
        <w:t>⁻⁴</w:t>
      </w:r>
    </w:p>
    <w:p w14:paraId="6A957F66" w14:textId="640F054D" w:rsidR="003C05E7" w:rsidRPr="003C05E7" w:rsidRDefault="003C05E7" w:rsidP="003C05E7">
      <w:pPr>
        <w:spacing w:after="0" w:line="240" w:lineRule="auto"/>
        <w:jc w:val="center"/>
        <w:rPr>
          <w:rFonts w:ascii="Times New Roman" w:eastAsia="Times New Roman" w:hAnsi="Times New Roman" w:cs="Times New Roman"/>
          <w:sz w:val="20"/>
          <w:szCs w:val="20"/>
        </w:rPr>
      </w:pPr>
      <w:r w:rsidRPr="003C05E7">
        <w:rPr>
          <w:rFonts w:ascii="Times New Roman" w:hAnsi="Times New Roman" w:cs="Times New Roman"/>
          <w:noProof/>
          <w:sz w:val="20"/>
          <w:szCs w:val="20"/>
        </w:rPr>
        <w:lastRenderedPageBreak/>
        <w:drawing>
          <wp:inline distT="0" distB="0" distL="0" distR="0" wp14:anchorId="2400B16C" wp14:editId="1A291700">
            <wp:extent cx="4165600" cy="215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l="2390" t="2615" r="4439" b="10001"/>
                    <a:stretch>
                      <a:fillRect/>
                    </a:stretch>
                  </pic:blipFill>
                  <pic:spPr bwMode="auto">
                    <a:xfrm>
                      <a:off x="0" y="0"/>
                      <a:ext cx="4165600" cy="2159000"/>
                    </a:xfrm>
                    <a:prstGeom prst="rect">
                      <a:avLst/>
                    </a:prstGeom>
                    <a:noFill/>
                    <a:ln>
                      <a:noFill/>
                    </a:ln>
                  </pic:spPr>
                </pic:pic>
              </a:graphicData>
            </a:graphic>
          </wp:inline>
        </w:drawing>
      </w:r>
    </w:p>
    <w:p w14:paraId="04455196" w14:textId="3C6A8A3B" w:rsidR="003C05E7" w:rsidRPr="003C05E7" w:rsidRDefault="003C05E7" w:rsidP="00E82B09">
      <w:pPr>
        <w:spacing w:after="0" w:line="240" w:lineRule="auto"/>
        <w:ind w:left="1350" w:right="1172"/>
        <w:jc w:val="both"/>
        <w:rPr>
          <w:rFonts w:ascii="Times New Roman" w:eastAsiaTheme="minorEastAsia" w:hAnsi="Times New Roman" w:cs="Times New Roman"/>
          <w:sz w:val="20"/>
          <w:szCs w:val="20"/>
        </w:rPr>
      </w:pPr>
      <w:r w:rsidRPr="003C05E7">
        <w:rPr>
          <w:rFonts w:ascii="Times New Roman" w:hAnsi="Times New Roman" w:cs="Times New Roman"/>
          <w:sz w:val="20"/>
          <w:szCs w:val="20"/>
        </w:rPr>
        <w:t>Figure 5</w:t>
      </w:r>
      <w:r w:rsidR="00974B3D">
        <w:rPr>
          <w:rFonts w:ascii="Times New Roman" w:hAnsi="Times New Roman" w:cs="Times New Roman"/>
          <w:sz w:val="20"/>
          <w:szCs w:val="20"/>
        </w:rPr>
        <w:t>:</w:t>
      </w:r>
      <w:r w:rsidRPr="003C05E7">
        <w:rPr>
          <w:rFonts w:ascii="Times New Roman" w:hAnsi="Times New Roman" w:cs="Times New Roman"/>
          <w:sz w:val="20"/>
          <w:szCs w:val="20"/>
        </w:rPr>
        <w:t xml:space="preserve"> </w:t>
      </w:r>
      <w:r w:rsidR="00974B3D" w:rsidRPr="003C05E7">
        <w:rPr>
          <w:rFonts w:ascii="Times New Roman" w:hAnsi="Times New Roman" w:cs="Times New Roman"/>
          <w:sz w:val="20"/>
          <w:szCs w:val="20"/>
        </w:rPr>
        <w:t>Dose</w:t>
      </w:r>
      <w:r w:rsidR="00974B3D">
        <w:rPr>
          <w:rFonts w:ascii="Times New Roman" w:hAnsi="Times New Roman" w:cs="Times New Roman"/>
          <w:sz w:val="20"/>
          <w:szCs w:val="20"/>
        </w:rPr>
        <w:t xml:space="preserve">- </w:t>
      </w:r>
      <w:r w:rsidRPr="003C05E7">
        <w:rPr>
          <w:rFonts w:ascii="Times New Roman" w:hAnsi="Times New Roman" w:cs="Times New Roman"/>
          <w:sz w:val="20"/>
          <w:szCs w:val="20"/>
        </w:rPr>
        <w:t>All Nuclides Summed, All Pathways Summed — 1.25 m Clean Cover Scenario. Total Dose Maintained Well Below BRDL (1.000E+00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Throughout the 1000-year Simulation, Peaking at 3.742E-01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at t = 1000 Years</w:t>
      </w:r>
    </w:p>
    <w:p w14:paraId="686D94F2" w14:textId="77777777" w:rsidR="00BD4A96" w:rsidRPr="003C05E7" w:rsidRDefault="00BD4A96" w:rsidP="003C05E7">
      <w:pPr>
        <w:spacing w:after="0" w:line="240" w:lineRule="auto"/>
        <w:rPr>
          <w:rFonts w:ascii="Times New Roman" w:hAnsi="Times New Roman" w:cs="Times New Roman"/>
          <w:sz w:val="20"/>
          <w:szCs w:val="20"/>
          <w:lang w:eastAsia="zh-CN"/>
        </w:rPr>
      </w:pPr>
    </w:p>
    <w:p w14:paraId="1A3874B8" w14:textId="451597CE" w:rsidR="00BD4A96" w:rsidRPr="003C05E7" w:rsidRDefault="00BD4A96" w:rsidP="003C05E7">
      <w:pPr>
        <w:spacing w:after="0" w:line="240" w:lineRule="auto"/>
        <w:rPr>
          <w:rFonts w:ascii="Times New Roman" w:hAnsi="Times New Roman" w:cs="Times New Roman"/>
          <w:b/>
          <w:bCs/>
          <w:sz w:val="20"/>
          <w:szCs w:val="20"/>
          <w:lang w:eastAsia="zh-CN"/>
        </w:rPr>
        <w:sectPr w:rsidR="00BD4A96" w:rsidRPr="003C05E7" w:rsidSect="002A637C">
          <w:type w:val="continuous"/>
          <w:pgSz w:w="12242" w:h="15842" w:code="1"/>
          <w:pgMar w:top="1440" w:right="1440" w:bottom="1440" w:left="1440" w:header="709" w:footer="709" w:gutter="0"/>
          <w:cols w:space="284"/>
          <w:docGrid w:linePitch="360"/>
        </w:sectPr>
      </w:pPr>
    </w:p>
    <w:p w14:paraId="15BAFA49" w14:textId="77777777" w:rsidR="003C05E7" w:rsidRPr="003C05E7" w:rsidRDefault="003C05E7" w:rsidP="003C05E7">
      <w:pPr>
        <w:spacing w:after="0" w:line="240" w:lineRule="auto"/>
        <w:rPr>
          <w:rFonts w:ascii="Times New Roman" w:hAnsi="Times New Roman" w:cs="Times New Roman"/>
          <w:sz w:val="20"/>
          <w:szCs w:val="20"/>
        </w:rPr>
      </w:pPr>
      <w:r w:rsidRPr="003C05E7">
        <w:rPr>
          <w:rFonts w:ascii="Times New Roman" w:hAnsi="Times New Roman" w:cs="Times New Roman"/>
          <w:b/>
          <w:bCs/>
          <w:sz w:val="20"/>
          <w:szCs w:val="20"/>
        </w:rPr>
        <w:t>CONCLUSION</w:t>
      </w:r>
    </w:p>
    <w:p w14:paraId="41209218"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This study applied the RESRAD-Onsite 7.2 code to conduct a long-term radiological dose and cancer risk assessment at </w:t>
      </w:r>
      <w:proofErr w:type="spellStart"/>
      <w:r w:rsidRPr="003C05E7">
        <w:rPr>
          <w:rFonts w:ascii="Times New Roman" w:hAnsi="Times New Roman" w:cs="Times New Roman"/>
          <w:sz w:val="20"/>
          <w:szCs w:val="20"/>
        </w:rPr>
        <w:t>Hongyum</w:t>
      </w:r>
      <w:proofErr w:type="spellEnd"/>
      <w:r w:rsidRPr="003C05E7">
        <w:rPr>
          <w:rFonts w:ascii="Times New Roman" w:hAnsi="Times New Roman" w:cs="Times New Roman"/>
          <w:sz w:val="20"/>
          <w:szCs w:val="20"/>
        </w:rPr>
        <w:t xml:space="preserve"> Quarry, </w:t>
      </w:r>
      <w:proofErr w:type="spellStart"/>
      <w:r w:rsidRPr="003C05E7">
        <w:rPr>
          <w:rFonts w:ascii="Times New Roman" w:hAnsi="Times New Roman" w:cs="Times New Roman"/>
          <w:sz w:val="20"/>
          <w:szCs w:val="20"/>
        </w:rPr>
        <w:t>Mpape</w:t>
      </w:r>
      <w:proofErr w:type="spellEnd"/>
      <w:r w:rsidRPr="003C05E7">
        <w:rPr>
          <w:rFonts w:ascii="Times New Roman" w:hAnsi="Times New Roman" w:cs="Times New Roman"/>
          <w:sz w:val="20"/>
          <w:szCs w:val="20"/>
        </w:rPr>
        <w:t xml:space="preserve">, </w:t>
      </w:r>
      <w:proofErr w:type="spellStart"/>
      <w:r w:rsidRPr="003C05E7">
        <w:rPr>
          <w:rFonts w:ascii="Times New Roman" w:hAnsi="Times New Roman" w:cs="Times New Roman"/>
          <w:sz w:val="20"/>
          <w:szCs w:val="20"/>
        </w:rPr>
        <w:t>FCT</w:t>
      </w:r>
      <w:proofErr w:type="spellEnd"/>
      <w:r w:rsidRPr="003C05E7">
        <w:rPr>
          <w:rFonts w:ascii="Times New Roman" w:hAnsi="Times New Roman" w:cs="Times New Roman"/>
          <w:sz w:val="20"/>
          <w:szCs w:val="20"/>
        </w:rPr>
        <w:t xml:space="preserve"> Abuja, Nigeria, which is among the first dedicated assessments of this nature for this site. Activity concentrations measured by </w:t>
      </w:r>
      <w:proofErr w:type="spellStart"/>
      <w:proofErr w:type="gramStart"/>
      <w:r w:rsidRPr="003C05E7">
        <w:rPr>
          <w:rFonts w:ascii="Times New Roman" w:hAnsi="Times New Roman" w:cs="Times New Roman"/>
          <w:sz w:val="20"/>
          <w:szCs w:val="20"/>
        </w:rPr>
        <w:t>NaI</w:t>
      </w:r>
      <w:proofErr w:type="spellEnd"/>
      <w:r w:rsidRPr="003C05E7">
        <w:rPr>
          <w:rFonts w:ascii="Times New Roman" w:hAnsi="Times New Roman" w:cs="Times New Roman"/>
          <w:sz w:val="20"/>
          <w:szCs w:val="20"/>
        </w:rPr>
        <w:t>(</w:t>
      </w:r>
      <w:proofErr w:type="gramEnd"/>
      <w:r w:rsidRPr="003C05E7">
        <w:rPr>
          <w:rFonts w:ascii="Times New Roman" w:hAnsi="Times New Roman" w:cs="Times New Roman"/>
          <w:sz w:val="20"/>
          <w:szCs w:val="20"/>
        </w:rPr>
        <w:t xml:space="preserve">Tl) gamma spectrometry yielded mean values of 930.57 ± 61.89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 xml:space="preserve">K), 25.34 ± 4.32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 xml:space="preserve">Ra), and 76.28 ± 4.81 </w:t>
      </w:r>
      <w:proofErr w:type="spellStart"/>
      <w:r w:rsidRPr="003C05E7">
        <w:rPr>
          <w:rFonts w:ascii="Times New Roman" w:hAnsi="Times New Roman" w:cs="Times New Roman"/>
          <w:sz w:val="20"/>
          <w:szCs w:val="20"/>
        </w:rPr>
        <w:t>Bq</w:t>
      </w:r>
      <w:proofErr w:type="spellEnd"/>
      <w:r w:rsidRPr="003C05E7">
        <w:rPr>
          <w:rFonts w:ascii="Times New Roman" w:hAnsi="Times New Roman" w:cs="Times New Roman"/>
          <w:sz w:val="20"/>
          <w:szCs w:val="20"/>
        </w:rPr>
        <w:t xml:space="preserve"> kg</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 xml:space="preserve">Th), with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 xml:space="preserve">K and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Th exceeding UNSCEAR (2000) world average values at all six quarry sampling points.</w:t>
      </w:r>
    </w:p>
    <w:p w14:paraId="199178D0"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The maximum total radiological dose of 1.156E+00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was attained at t = 37.65 ± 0.08 years, exceeding the BRDL of 1.000E+00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At t = 0, the total dose was 7.878E-01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 xml:space="preserve">¹.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 xml:space="preserve">K was the dominant dose contributor at both t = 0 (65.44%) and t-max-D (41.79%), with </w:t>
      </w:r>
      <w:r w:rsidRPr="003C05E7">
        <w:rPr>
          <w:rFonts w:ascii="Times New Roman" w:hAnsi="Times New Roman" w:cs="Times New Roman"/>
          <w:sz w:val="20"/>
          <w:szCs w:val="20"/>
          <w:vertAlign w:val="superscript"/>
        </w:rPr>
        <w:t>232</w:t>
      </w:r>
      <w:r w:rsidRPr="003C05E7">
        <w:rPr>
          <w:rFonts w:ascii="Times New Roman" w:hAnsi="Times New Roman" w:cs="Times New Roman"/>
          <w:sz w:val="20"/>
          <w:szCs w:val="20"/>
        </w:rPr>
        <w:t>Th’s contribution rising substantially over time due to decay chain progeny ingrowth. External gamma, plant ingestion, and radon were the dominant exposure pathways. The total excess cancer risk at t = 0 was 3.306E-03, which is 11.02 times higher than the WHO recommended limit of 3.00 × 10</w:t>
      </w:r>
      <w:r w:rsidRPr="003C05E7">
        <w:rPr>
          <w:rFonts w:ascii="Times New Roman" w:eastAsia="MS Gothic" w:hAnsi="Times New Roman" w:cs="Times New Roman"/>
          <w:sz w:val="20"/>
          <w:szCs w:val="20"/>
        </w:rPr>
        <w:t>⁻⁴</w:t>
      </w:r>
      <w:r w:rsidRPr="003C05E7">
        <w:rPr>
          <w:rFonts w:ascii="Times New Roman" w:hAnsi="Times New Roman" w:cs="Times New Roman"/>
          <w:sz w:val="20"/>
          <w:szCs w:val="20"/>
        </w:rPr>
        <w:t xml:space="preserve">, confirming an unacceptable radiological cancer burden. </w:t>
      </w:r>
      <w:r w:rsidRPr="003C05E7">
        <w:rPr>
          <w:rFonts w:ascii="Times New Roman" w:hAnsi="Times New Roman" w:cs="Times New Roman"/>
          <w:sz w:val="20"/>
          <w:szCs w:val="20"/>
          <w:vertAlign w:val="superscript"/>
        </w:rPr>
        <w:t>40</w:t>
      </w:r>
      <w:r w:rsidRPr="003C05E7">
        <w:rPr>
          <w:rFonts w:ascii="Times New Roman" w:hAnsi="Times New Roman" w:cs="Times New Roman"/>
          <w:sz w:val="20"/>
          <w:szCs w:val="20"/>
        </w:rPr>
        <w:t>K contributed 59.04% of this risk, primarily through food ingestion pathways.</w:t>
      </w:r>
    </w:p>
    <w:p w14:paraId="7CD49215" w14:textId="011CA1CA"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A 1.25 m clean soil cover reduced the total dose from 7.878E-01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to 1.367E-01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at t = 0, with the dose remaining well below the BRDL throughout the 1000-year simulation and peaking at only 3.742E-01 mSv yr</w:t>
      </w:r>
      <w:r w:rsidRPr="003C05E7">
        <w:rPr>
          <w:rFonts w:ascii="Times New Roman" w:eastAsia="MS Gothic" w:hAnsi="Times New Roman" w:cs="Times New Roman"/>
          <w:sz w:val="20"/>
          <w:szCs w:val="20"/>
        </w:rPr>
        <w:t>⁻</w:t>
      </w:r>
      <w:r w:rsidRPr="003C05E7">
        <w:rPr>
          <w:rFonts w:ascii="Times New Roman" w:hAnsi="Times New Roman" w:cs="Times New Roman"/>
          <w:sz w:val="20"/>
          <w:szCs w:val="20"/>
        </w:rPr>
        <w:t>¹ at t = 1000 years. While this demonstrates that a 1.25 m clean soil cover is an effective first remediation step — reducing total dose by 82.6% and total excess cancer risk by 85.5% — the cancer risk remains above the WHO-recommended upper limit of 3.00 × 10</w:t>
      </w:r>
      <w:r w:rsidRPr="003C05E7">
        <w:rPr>
          <w:rFonts w:ascii="Times New Roman" w:eastAsia="MS Gothic" w:hAnsi="Times New Roman" w:cs="Times New Roman"/>
          <w:sz w:val="20"/>
          <w:szCs w:val="20"/>
        </w:rPr>
        <w:t>⁻⁴</w:t>
      </w:r>
      <w:r w:rsidRPr="003C05E7">
        <w:rPr>
          <w:rFonts w:ascii="Times New Roman" w:hAnsi="Times New Roman" w:cs="Times New Roman"/>
          <w:sz w:val="20"/>
          <w:szCs w:val="20"/>
        </w:rPr>
        <w:t xml:space="preserve"> throughout the simulation horizon (1.60× limit at t = 0; 3.43× at t = 1000 years), primarily driven by </w:t>
      </w:r>
      <w:r w:rsidRPr="003C05E7">
        <w:rPr>
          <w:rFonts w:ascii="Times New Roman" w:hAnsi="Times New Roman" w:cs="Times New Roman"/>
          <w:sz w:val="20"/>
          <w:szCs w:val="20"/>
          <w:vertAlign w:val="superscript"/>
        </w:rPr>
        <w:t>226</w:t>
      </w:r>
      <w:r w:rsidRPr="003C05E7">
        <w:rPr>
          <w:rFonts w:ascii="Times New Roman" w:hAnsi="Times New Roman" w:cs="Times New Roman"/>
          <w:sz w:val="20"/>
          <w:szCs w:val="20"/>
        </w:rPr>
        <w:t>Ra-</w:t>
      </w:r>
      <w:r w:rsidRPr="003C05E7">
        <w:rPr>
          <w:rFonts w:ascii="Times New Roman" w:hAnsi="Times New Roman" w:cs="Times New Roman"/>
          <w:sz w:val="20"/>
          <w:szCs w:val="20"/>
        </w:rPr>
        <w:t>sourced radon breakthrough through the cover. The cover eliminates external gamma and ingestion pathway exposure but cannot suppress radon gas migration. Supplementary radon attenuation measures are therefore recommended alongside the soil cover. These findings provide a scientific basis for remediation planning and underscore the need for periodic radiological assessments at quarry and mining sites in Nigeria, in compliance with NNRA (2012) regulations.</w:t>
      </w:r>
    </w:p>
    <w:p w14:paraId="42776599" w14:textId="77777777" w:rsidR="00974B3D" w:rsidRPr="003C05E7" w:rsidRDefault="00974B3D" w:rsidP="003C05E7">
      <w:pPr>
        <w:spacing w:after="0" w:line="240" w:lineRule="auto"/>
        <w:jc w:val="both"/>
        <w:rPr>
          <w:rFonts w:ascii="Times New Roman" w:hAnsi="Times New Roman" w:cs="Times New Roman"/>
          <w:sz w:val="20"/>
          <w:szCs w:val="20"/>
        </w:rPr>
      </w:pPr>
    </w:p>
    <w:p w14:paraId="01F53D9F" w14:textId="0AF455CA" w:rsidR="003C05E7" w:rsidRPr="003C05E7" w:rsidRDefault="002E79FB" w:rsidP="003C05E7">
      <w:pPr>
        <w:spacing w:after="0" w:line="240" w:lineRule="auto"/>
        <w:rPr>
          <w:rFonts w:ascii="Times New Roman" w:hAnsi="Times New Roman" w:cs="Times New Roman"/>
          <w:sz w:val="20"/>
          <w:szCs w:val="20"/>
        </w:rPr>
      </w:pPr>
      <w:r w:rsidRPr="003C05E7">
        <w:rPr>
          <w:rFonts w:ascii="Times New Roman" w:hAnsi="Times New Roman" w:cs="Times New Roman"/>
          <w:b/>
          <w:bCs/>
          <w:sz w:val="20"/>
          <w:szCs w:val="20"/>
        </w:rPr>
        <w:t>ACKNOWLEDGEMENT</w:t>
      </w:r>
    </w:p>
    <w:p w14:paraId="3849B855"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r w:rsidRPr="003C05E7">
        <w:rPr>
          <w:rFonts w:ascii="Times New Roman" w:hAnsi="Times New Roman" w:cs="Times New Roman"/>
          <w:sz w:val="20"/>
          <w:szCs w:val="20"/>
        </w:rPr>
        <w:t>The authors are grateful to Prof. D. J. Adeyemo for reviewing and approving the laboratory procedures and results carried out at the Centre for Energy Research and Training (CERT), Ahmadu Bello University, Zaria, Nigeria.</w:t>
      </w:r>
    </w:p>
    <w:p w14:paraId="7F3157DD"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2304B8F7" w14:textId="44342772" w:rsidR="003C05E7" w:rsidRPr="003C05E7" w:rsidRDefault="002E79FB" w:rsidP="003C05E7">
      <w:pPr>
        <w:spacing w:after="0" w:line="240" w:lineRule="auto"/>
        <w:rPr>
          <w:rFonts w:ascii="Times New Roman" w:eastAsia="Times New Roman" w:hAnsi="Times New Roman" w:cs="Times New Roman"/>
          <w:sz w:val="20"/>
          <w:szCs w:val="20"/>
        </w:rPr>
      </w:pPr>
      <w:r w:rsidRPr="003C05E7">
        <w:rPr>
          <w:rFonts w:ascii="Times New Roman" w:hAnsi="Times New Roman" w:cs="Times New Roman"/>
          <w:b/>
          <w:bCs/>
          <w:sz w:val="20"/>
          <w:szCs w:val="20"/>
        </w:rPr>
        <w:t>CONFLICT OF INTEREST</w:t>
      </w:r>
    </w:p>
    <w:p w14:paraId="0738A2FE"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r w:rsidRPr="003C05E7">
        <w:rPr>
          <w:rFonts w:ascii="Times New Roman" w:hAnsi="Times New Roman" w:cs="Times New Roman"/>
          <w:sz w:val="20"/>
          <w:szCs w:val="20"/>
        </w:rPr>
        <w:t>No potential conflict of interest relevant to this article was reported.</w:t>
      </w:r>
    </w:p>
    <w:p w14:paraId="22D193C9"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5D1F519F" w14:textId="0BCC7132" w:rsidR="003C05E7" w:rsidRPr="003C05E7" w:rsidRDefault="002E79FB" w:rsidP="003C05E7">
      <w:pPr>
        <w:spacing w:after="0" w:line="240" w:lineRule="auto"/>
        <w:rPr>
          <w:rFonts w:ascii="Times New Roman" w:eastAsia="Times New Roman" w:hAnsi="Times New Roman" w:cs="Times New Roman"/>
          <w:sz w:val="20"/>
          <w:szCs w:val="20"/>
        </w:rPr>
      </w:pPr>
      <w:r w:rsidRPr="003C05E7">
        <w:rPr>
          <w:rFonts w:ascii="Times New Roman" w:hAnsi="Times New Roman" w:cs="Times New Roman"/>
          <w:b/>
          <w:bCs/>
          <w:sz w:val="20"/>
          <w:szCs w:val="20"/>
        </w:rPr>
        <w:t>SOURCES OF FUNDING</w:t>
      </w:r>
    </w:p>
    <w:p w14:paraId="158B252B"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r w:rsidRPr="003C05E7">
        <w:rPr>
          <w:rFonts w:ascii="Times New Roman" w:hAnsi="Times New Roman" w:cs="Times New Roman"/>
          <w:sz w:val="20"/>
          <w:szCs w:val="20"/>
        </w:rPr>
        <w:t>The authors declare that no funds, grants, or other support were received during the preparation of this manuscript.</w:t>
      </w:r>
    </w:p>
    <w:p w14:paraId="161DA563"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0A5E7460" w14:textId="73DAFDED" w:rsidR="003C05E7" w:rsidRPr="003C05E7" w:rsidRDefault="002E79FB" w:rsidP="003C05E7">
      <w:pPr>
        <w:spacing w:after="0" w:line="240" w:lineRule="auto"/>
        <w:rPr>
          <w:rFonts w:ascii="Times New Roman" w:eastAsia="Times New Roman" w:hAnsi="Times New Roman" w:cs="Times New Roman"/>
          <w:sz w:val="20"/>
          <w:szCs w:val="20"/>
        </w:rPr>
      </w:pPr>
      <w:r w:rsidRPr="003C05E7">
        <w:rPr>
          <w:rFonts w:ascii="Times New Roman" w:hAnsi="Times New Roman" w:cs="Times New Roman"/>
          <w:b/>
          <w:bCs/>
          <w:sz w:val="20"/>
          <w:szCs w:val="20"/>
        </w:rPr>
        <w:t>ETHICAL STATEMENT</w:t>
      </w:r>
    </w:p>
    <w:p w14:paraId="64A33D32"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r w:rsidRPr="003C05E7">
        <w:rPr>
          <w:rFonts w:ascii="Times New Roman" w:hAnsi="Times New Roman" w:cs="Times New Roman"/>
          <w:sz w:val="20"/>
          <w:szCs w:val="20"/>
        </w:rPr>
        <w:t>This article does not contain any studies with human participants or animals performed by any of the authors.</w:t>
      </w:r>
    </w:p>
    <w:p w14:paraId="656F9B73"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05AB8763" w14:textId="101DB614" w:rsidR="003C05E7" w:rsidRPr="003C05E7" w:rsidRDefault="002E79FB" w:rsidP="003C05E7">
      <w:pPr>
        <w:spacing w:after="0" w:line="240" w:lineRule="auto"/>
        <w:rPr>
          <w:rFonts w:ascii="Times New Roman" w:eastAsia="Times New Roman" w:hAnsi="Times New Roman" w:cs="Times New Roman"/>
          <w:sz w:val="20"/>
          <w:szCs w:val="20"/>
        </w:rPr>
      </w:pPr>
      <w:r w:rsidRPr="003C05E7">
        <w:rPr>
          <w:rFonts w:ascii="Times New Roman" w:hAnsi="Times New Roman" w:cs="Times New Roman"/>
          <w:b/>
          <w:bCs/>
          <w:sz w:val="20"/>
          <w:szCs w:val="20"/>
        </w:rPr>
        <w:t>DATA AVAILABILITY</w:t>
      </w:r>
    </w:p>
    <w:p w14:paraId="20759711"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r w:rsidRPr="003C05E7">
        <w:rPr>
          <w:rFonts w:ascii="Times New Roman" w:hAnsi="Times New Roman" w:cs="Times New Roman"/>
          <w:sz w:val="20"/>
          <w:szCs w:val="20"/>
        </w:rPr>
        <w:t>The data that support the findings of this study are available from the corresponding author upon reasonable request.</w:t>
      </w:r>
    </w:p>
    <w:p w14:paraId="5A312032" w14:textId="77777777" w:rsidR="003C05E7" w:rsidRPr="003C05E7" w:rsidRDefault="003C05E7" w:rsidP="003C05E7">
      <w:pPr>
        <w:spacing w:after="0" w:line="240" w:lineRule="auto"/>
        <w:jc w:val="both"/>
        <w:rPr>
          <w:rFonts w:ascii="Times New Roman" w:eastAsiaTheme="minorEastAsia" w:hAnsi="Times New Roman" w:cs="Times New Roman"/>
          <w:sz w:val="20"/>
          <w:szCs w:val="20"/>
        </w:rPr>
      </w:pPr>
    </w:p>
    <w:p w14:paraId="71CA1AFE" w14:textId="77777777" w:rsidR="00E82B09" w:rsidRDefault="00E82B09" w:rsidP="003C05E7">
      <w:pPr>
        <w:spacing w:after="0" w:line="240" w:lineRule="auto"/>
        <w:rPr>
          <w:rFonts w:ascii="Times New Roman" w:hAnsi="Times New Roman" w:cs="Times New Roman"/>
          <w:b/>
          <w:bCs/>
          <w:sz w:val="20"/>
          <w:szCs w:val="20"/>
        </w:rPr>
      </w:pPr>
    </w:p>
    <w:p w14:paraId="043430C3" w14:textId="77777777" w:rsidR="00E82B09" w:rsidRDefault="00E82B09" w:rsidP="003C05E7">
      <w:pPr>
        <w:spacing w:after="0" w:line="240" w:lineRule="auto"/>
        <w:rPr>
          <w:rFonts w:ascii="Times New Roman" w:hAnsi="Times New Roman" w:cs="Times New Roman"/>
          <w:b/>
          <w:bCs/>
          <w:sz w:val="20"/>
          <w:szCs w:val="20"/>
        </w:rPr>
      </w:pPr>
    </w:p>
    <w:p w14:paraId="29AD00C5" w14:textId="717A8459" w:rsidR="003C05E7" w:rsidRPr="003C05E7" w:rsidRDefault="00974B3D" w:rsidP="003C05E7">
      <w:pPr>
        <w:spacing w:after="0" w:line="240" w:lineRule="auto"/>
        <w:rPr>
          <w:rFonts w:ascii="Times New Roman" w:eastAsia="Times New Roman" w:hAnsi="Times New Roman" w:cs="Times New Roman"/>
          <w:sz w:val="20"/>
          <w:szCs w:val="20"/>
        </w:rPr>
      </w:pPr>
      <w:r w:rsidRPr="003C05E7">
        <w:rPr>
          <w:rFonts w:ascii="Times New Roman" w:hAnsi="Times New Roman" w:cs="Times New Roman"/>
          <w:b/>
          <w:bCs/>
          <w:sz w:val="20"/>
          <w:szCs w:val="20"/>
        </w:rPr>
        <w:lastRenderedPageBreak/>
        <w:t>REFERENCES</w:t>
      </w:r>
    </w:p>
    <w:p w14:paraId="6D0360E7" w14:textId="50E72F7A"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Abdu, N. M., </w:t>
      </w:r>
      <w:proofErr w:type="spellStart"/>
      <w:r w:rsidRPr="003C05E7">
        <w:rPr>
          <w:rFonts w:ascii="Times New Roman" w:hAnsi="Times New Roman" w:cs="Times New Roman"/>
          <w:sz w:val="20"/>
          <w:szCs w:val="20"/>
        </w:rPr>
        <w:t>Aznan</w:t>
      </w:r>
      <w:proofErr w:type="spellEnd"/>
      <w:r w:rsidRPr="003C05E7">
        <w:rPr>
          <w:rFonts w:ascii="Times New Roman" w:hAnsi="Times New Roman" w:cs="Times New Roman"/>
          <w:sz w:val="20"/>
          <w:szCs w:val="20"/>
        </w:rPr>
        <w:t xml:space="preserve">, F. I., &amp; </w:t>
      </w:r>
      <w:proofErr w:type="spellStart"/>
      <w:r w:rsidRPr="003C05E7">
        <w:rPr>
          <w:rFonts w:ascii="Times New Roman" w:hAnsi="Times New Roman" w:cs="Times New Roman"/>
          <w:sz w:val="20"/>
          <w:szCs w:val="20"/>
        </w:rPr>
        <w:t>Garba</w:t>
      </w:r>
      <w:proofErr w:type="spellEnd"/>
      <w:r w:rsidRPr="003C05E7">
        <w:rPr>
          <w:rFonts w:ascii="Times New Roman" w:hAnsi="Times New Roman" w:cs="Times New Roman"/>
          <w:sz w:val="20"/>
          <w:szCs w:val="20"/>
        </w:rPr>
        <w:t xml:space="preserve">, N. N. (2024). RESRAD-ONSITE simulation to evaluate the effect of contamination thickness in determining the dose and excess lifetime cancer risk due to tin mining activities in Nigeria. Radiation Effects and Defects in Solids. </w:t>
      </w:r>
      <w:hyperlink r:id="rId21" w:history="1">
        <w:r w:rsidR="00D3135F" w:rsidRPr="009452FA">
          <w:rPr>
            <w:rStyle w:val="Hyperlink"/>
            <w:rFonts w:ascii="Times New Roman" w:hAnsi="Times New Roman" w:cs="Times New Roman"/>
            <w:sz w:val="20"/>
            <w:szCs w:val="20"/>
          </w:rPr>
          <w:t>https://doi.org/10.1080/10420150.2024.2305876</w:t>
        </w:r>
      </w:hyperlink>
    </w:p>
    <w:p w14:paraId="11C79BB1" w14:textId="77777777" w:rsidR="00D3135F" w:rsidRPr="003C05E7" w:rsidRDefault="00D3135F" w:rsidP="003C05E7">
      <w:pPr>
        <w:spacing w:after="0" w:line="240" w:lineRule="auto"/>
        <w:jc w:val="both"/>
        <w:rPr>
          <w:rFonts w:ascii="Times New Roman" w:hAnsi="Times New Roman" w:cs="Times New Roman"/>
          <w:sz w:val="20"/>
          <w:szCs w:val="20"/>
        </w:rPr>
      </w:pPr>
    </w:p>
    <w:p w14:paraId="35A967DE" w14:textId="0E1951C8"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Bellamy, M., </w:t>
      </w:r>
      <w:proofErr w:type="spellStart"/>
      <w:r w:rsidRPr="003C05E7">
        <w:rPr>
          <w:rFonts w:ascii="Times New Roman" w:hAnsi="Times New Roman" w:cs="Times New Roman"/>
          <w:sz w:val="20"/>
          <w:szCs w:val="20"/>
        </w:rPr>
        <w:t>Finklea</w:t>
      </w:r>
      <w:proofErr w:type="spellEnd"/>
      <w:r w:rsidRPr="003C05E7">
        <w:rPr>
          <w:rFonts w:ascii="Times New Roman" w:hAnsi="Times New Roman" w:cs="Times New Roman"/>
          <w:sz w:val="20"/>
          <w:szCs w:val="20"/>
        </w:rPr>
        <w:t xml:space="preserve">, L., </w:t>
      </w:r>
      <w:proofErr w:type="spellStart"/>
      <w:r w:rsidRPr="003C05E7">
        <w:rPr>
          <w:rFonts w:ascii="Times New Roman" w:hAnsi="Times New Roman" w:cs="Times New Roman"/>
          <w:sz w:val="20"/>
          <w:szCs w:val="20"/>
        </w:rPr>
        <w:t>Dolislager</w:t>
      </w:r>
      <w:proofErr w:type="spellEnd"/>
      <w:r w:rsidRPr="003C05E7">
        <w:rPr>
          <w:rFonts w:ascii="Times New Roman" w:hAnsi="Times New Roman" w:cs="Times New Roman"/>
          <w:sz w:val="20"/>
          <w:szCs w:val="20"/>
        </w:rPr>
        <w:t xml:space="preserve">, F., &amp; </w:t>
      </w:r>
      <w:proofErr w:type="spellStart"/>
      <w:r w:rsidRPr="003C05E7">
        <w:rPr>
          <w:rFonts w:ascii="Times New Roman" w:hAnsi="Times New Roman" w:cs="Times New Roman"/>
          <w:sz w:val="20"/>
          <w:szCs w:val="20"/>
        </w:rPr>
        <w:t>Eckerman</w:t>
      </w:r>
      <w:proofErr w:type="spellEnd"/>
      <w:r w:rsidRPr="003C05E7">
        <w:rPr>
          <w:rFonts w:ascii="Times New Roman" w:hAnsi="Times New Roman" w:cs="Times New Roman"/>
          <w:sz w:val="20"/>
          <w:szCs w:val="20"/>
        </w:rPr>
        <w:t>, K. (2014). Area correction factors for contaminated soil for use in risk and dose assessment models (ORNL/TM-2013/00). Oak Ridge National Laboratory.</w:t>
      </w:r>
    </w:p>
    <w:p w14:paraId="7C631190" w14:textId="77777777" w:rsidR="00D3135F" w:rsidRPr="003C05E7" w:rsidRDefault="00D3135F" w:rsidP="003C05E7">
      <w:pPr>
        <w:spacing w:after="0" w:line="240" w:lineRule="auto"/>
        <w:jc w:val="both"/>
        <w:rPr>
          <w:rFonts w:ascii="Times New Roman" w:hAnsi="Times New Roman" w:cs="Times New Roman"/>
          <w:sz w:val="20"/>
          <w:szCs w:val="20"/>
        </w:rPr>
      </w:pPr>
    </w:p>
    <w:p w14:paraId="3F02837E" w14:textId="5B1AD467"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Bello, S., </w:t>
      </w:r>
      <w:proofErr w:type="spellStart"/>
      <w:r w:rsidRPr="003C05E7">
        <w:rPr>
          <w:rFonts w:ascii="Times New Roman" w:hAnsi="Times New Roman" w:cs="Times New Roman"/>
          <w:sz w:val="20"/>
          <w:szCs w:val="20"/>
        </w:rPr>
        <w:t>Garba</w:t>
      </w:r>
      <w:proofErr w:type="spellEnd"/>
      <w:r w:rsidRPr="003C05E7">
        <w:rPr>
          <w:rFonts w:ascii="Times New Roman" w:hAnsi="Times New Roman" w:cs="Times New Roman"/>
          <w:sz w:val="20"/>
          <w:szCs w:val="20"/>
        </w:rPr>
        <w:t xml:space="preserve">, N. N., Muhammad, B. G., &amp; Simon, J. (2022). Application of RESRAD and ERICA tools to estimate dose and cancer risk for artisanal gold mining in Nigeria. Journal of Environmental Radioactivity, 251–252, 106932. </w:t>
      </w:r>
      <w:hyperlink r:id="rId22" w:history="1">
        <w:r w:rsidR="00D3135F" w:rsidRPr="009452FA">
          <w:rPr>
            <w:rStyle w:val="Hyperlink"/>
            <w:rFonts w:ascii="Times New Roman" w:hAnsi="Times New Roman" w:cs="Times New Roman"/>
            <w:sz w:val="20"/>
            <w:szCs w:val="20"/>
          </w:rPr>
          <w:t>https://doi.org/10.1016/j.jenvrad.2022.106932</w:t>
        </w:r>
      </w:hyperlink>
    </w:p>
    <w:p w14:paraId="21776ADC" w14:textId="77777777" w:rsidR="00D3135F" w:rsidRPr="003C05E7" w:rsidRDefault="00D3135F" w:rsidP="003C05E7">
      <w:pPr>
        <w:spacing w:after="0" w:line="240" w:lineRule="auto"/>
        <w:jc w:val="both"/>
        <w:rPr>
          <w:rFonts w:ascii="Times New Roman" w:hAnsi="Times New Roman" w:cs="Times New Roman"/>
          <w:sz w:val="20"/>
          <w:szCs w:val="20"/>
        </w:rPr>
      </w:pPr>
    </w:p>
    <w:p w14:paraId="5E7B5C6D" w14:textId="5DC3D55A"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Clapp, R. B., &amp; Hornberger, G. M. (1978). Empirical equations for some soil hydraulic properties. Water Resources Research, 14(4), 601–604. </w:t>
      </w:r>
      <w:hyperlink r:id="rId23" w:history="1">
        <w:r w:rsidR="00D3135F" w:rsidRPr="009452FA">
          <w:rPr>
            <w:rStyle w:val="Hyperlink"/>
            <w:rFonts w:ascii="Times New Roman" w:hAnsi="Times New Roman" w:cs="Times New Roman"/>
            <w:sz w:val="20"/>
            <w:szCs w:val="20"/>
          </w:rPr>
          <w:t>https://doi.org/10.1029/WR014I004P00601</w:t>
        </w:r>
      </w:hyperlink>
    </w:p>
    <w:p w14:paraId="2D5F8544" w14:textId="77777777" w:rsidR="00D3135F" w:rsidRPr="003C05E7" w:rsidRDefault="00D3135F" w:rsidP="003C05E7">
      <w:pPr>
        <w:spacing w:after="0" w:line="240" w:lineRule="auto"/>
        <w:jc w:val="both"/>
        <w:rPr>
          <w:rFonts w:ascii="Times New Roman" w:hAnsi="Times New Roman" w:cs="Times New Roman"/>
          <w:sz w:val="20"/>
          <w:szCs w:val="20"/>
        </w:rPr>
      </w:pPr>
    </w:p>
    <w:p w14:paraId="3D95B1C4" w14:textId="31B88028" w:rsidR="003C05E7" w:rsidRDefault="003C05E7" w:rsidP="003C05E7">
      <w:pPr>
        <w:spacing w:after="0" w:line="240" w:lineRule="auto"/>
        <w:jc w:val="both"/>
        <w:rPr>
          <w:rFonts w:ascii="Times New Roman" w:hAnsi="Times New Roman" w:cs="Times New Roman"/>
          <w:sz w:val="20"/>
          <w:szCs w:val="20"/>
        </w:rPr>
      </w:pPr>
      <w:proofErr w:type="spellStart"/>
      <w:r w:rsidRPr="003C05E7">
        <w:rPr>
          <w:rFonts w:ascii="Times New Roman" w:hAnsi="Times New Roman" w:cs="Times New Roman"/>
          <w:sz w:val="20"/>
          <w:szCs w:val="20"/>
        </w:rPr>
        <w:t>Daburum</w:t>
      </w:r>
      <w:proofErr w:type="spellEnd"/>
      <w:r w:rsidRPr="003C05E7">
        <w:rPr>
          <w:rFonts w:ascii="Times New Roman" w:hAnsi="Times New Roman" w:cs="Times New Roman"/>
          <w:sz w:val="20"/>
          <w:szCs w:val="20"/>
        </w:rPr>
        <w:t xml:space="preserve">, N. H., </w:t>
      </w:r>
      <w:proofErr w:type="spellStart"/>
      <w:r w:rsidRPr="003C05E7">
        <w:rPr>
          <w:rFonts w:ascii="Times New Roman" w:hAnsi="Times New Roman" w:cs="Times New Roman"/>
          <w:sz w:val="20"/>
          <w:szCs w:val="20"/>
        </w:rPr>
        <w:t>Mallo</w:t>
      </w:r>
      <w:proofErr w:type="spellEnd"/>
      <w:r w:rsidRPr="003C05E7">
        <w:rPr>
          <w:rFonts w:ascii="Times New Roman" w:hAnsi="Times New Roman" w:cs="Times New Roman"/>
          <w:sz w:val="20"/>
          <w:szCs w:val="20"/>
        </w:rPr>
        <w:t xml:space="preserve">, Y. I., &amp; </w:t>
      </w:r>
      <w:proofErr w:type="spellStart"/>
      <w:r w:rsidRPr="003C05E7">
        <w:rPr>
          <w:rFonts w:ascii="Times New Roman" w:hAnsi="Times New Roman" w:cs="Times New Roman"/>
          <w:sz w:val="20"/>
          <w:szCs w:val="20"/>
        </w:rPr>
        <w:t>Akila</w:t>
      </w:r>
      <w:proofErr w:type="spellEnd"/>
      <w:r w:rsidRPr="003C05E7">
        <w:rPr>
          <w:rFonts w:ascii="Times New Roman" w:hAnsi="Times New Roman" w:cs="Times New Roman"/>
          <w:sz w:val="20"/>
          <w:szCs w:val="20"/>
        </w:rPr>
        <w:t xml:space="preserve">, S. (2023). Assessment of background and soil dumpsites radioactivity in Plateau State, Nigeria. African Journal of Environment and Natural Science Research, 6, 143–157. </w:t>
      </w:r>
      <w:hyperlink r:id="rId24" w:history="1">
        <w:r w:rsidR="00D3135F" w:rsidRPr="009452FA">
          <w:rPr>
            <w:rStyle w:val="Hyperlink"/>
            <w:rFonts w:ascii="Times New Roman" w:hAnsi="Times New Roman" w:cs="Times New Roman"/>
            <w:sz w:val="20"/>
            <w:szCs w:val="20"/>
          </w:rPr>
          <w:t>https://doi.org/10.52589/AJENSR-QQEZNFK7</w:t>
        </w:r>
      </w:hyperlink>
    </w:p>
    <w:p w14:paraId="02DD0ADB" w14:textId="77777777" w:rsidR="00D3135F" w:rsidRPr="003C05E7" w:rsidRDefault="00D3135F" w:rsidP="003C05E7">
      <w:pPr>
        <w:spacing w:after="0" w:line="240" w:lineRule="auto"/>
        <w:jc w:val="both"/>
        <w:rPr>
          <w:rFonts w:ascii="Times New Roman" w:hAnsi="Times New Roman" w:cs="Times New Roman"/>
          <w:sz w:val="20"/>
          <w:szCs w:val="20"/>
        </w:rPr>
      </w:pPr>
    </w:p>
    <w:p w14:paraId="32D182D2" w14:textId="4B27774C"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EPA. (2014). Radiation risk assessment at CERCLA sites (Office of Solid Waste and Emergency Response Memorandum 9285.6-20). U.S. Environmental Protection Agency.</w:t>
      </w:r>
    </w:p>
    <w:p w14:paraId="44186FC2" w14:textId="77777777" w:rsidR="00D3135F" w:rsidRPr="003C05E7" w:rsidRDefault="00D3135F" w:rsidP="003C05E7">
      <w:pPr>
        <w:spacing w:after="0" w:line="240" w:lineRule="auto"/>
        <w:jc w:val="both"/>
        <w:rPr>
          <w:rFonts w:ascii="Times New Roman" w:hAnsi="Times New Roman" w:cs="Times New Roman"/>
          <w:sz w:val="20"/>
          <w:szCs w:val="20"/>
        </w:rPr>
      </w:pPr>
    </w:p>
    <w:p w14:paraId="2A948B3B" w14:textId="60161B70"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Farai, I. (2007). Activity concentrations of 226Ra, 228Th, and 40K in different food crops from a high background radiation area in </w:t>
      </w:r>
      <w:proofErr w:type="spellStart"/>
      <w:r w:rsidRPr="003C05E7">
        <w:rPr>
          <w:rFonts w:ascii="Times New Roman" w:hAnsi="Times New Roman" w:cs="Times New Roman"/>
          <w:sz w:val="20"/>
          <w:szCs w:val="20"/>
        </w:rPr>
        <w:t>Bitsichi</w:t>
      </w:r>
      <w:proofErr w:type="spellEnd"/>
      <w:r w:rsidRPr="003C05E7">
        <w:rPr>
          <w:rFonts w:ascii="Times New Roman" w:hAnsi="Times New Roman" w:cs="Times New Roman"/>
          <w:sz w:val="20"/>
          <w:szCs w:val="20"/>
        </w:rPr>
        <w:t xml:space="preserve">, Jos Plateau, Nigeria. Radiation and Environmental Biophysics. </w:t>
      </w:r>
      <w:hyperlink r:id="rId25" w:history="1">
        <w:r w:rsidR="00D3135F" w:rsidRPr="009452FA">
          <w:rPr>
            <w:rStyle w:val="Hyperlink"/>
            <w:rFonts w:ascii="Times New Roman" w:hAnsi="Times New Roman" w:cs="Times New Roman"/>
            <w:sz w:val="20"/>
            <w:szCs w:val="20"/>
          </w:rPr>
          <w:t>https://doi.org/10.1007/S00411-006-0085-9</w:t>
        </w:r>
      </w:hyperlink>
    </w:p>
    <w:p w14:paraId="6BE9F433" w14:textId="77777777" w:rsidR="00D3135F" w:rsidRPr="003C05E7" w:rsidRDefault="00D3135F" w:rsidP="003C05E7">
      <w:pPr>
        <w:spacing w:after="0" w:line="240" w:lineRule="auto"/>
        <w:jc w:val="both"/>
        <w:rPr>
          <w:rFonts w:ascii="Times New Roman" w:hAnsi="Times New Roman" w:cs="Times New Roman"/>
          <w:sz w:val="20"/>
          <w:szCs w:val="20"/>
        </w:rPr>
      </w:pPr>
    </w:p>
    <w:p w14:paraId="1FAE2137" w14:textId="0F6B1E49"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Gil-García, C., </w:t>
      </w:r>
      <w:proofErr w:type="spellStart"/>
      <w:r w:rsidRPr="003C05E7">
        <w:rPr>
          <w:rFonts w:ascii="Times New Roman" w:hAnsi="Times New Roman" w:cs="Times New Roman"/>
          <w:sz w:val="20"/>
          <w:szCs w:val="20"/>
        </w:rPr>
        <w:t>Tagami</w:t>
      </w:r>
      <w:proofErr w:type="spellEnd"/>
      <w:r w:rsidRPr="003C05E7">
        <w:rPr>
          <w:rFonts w:ascii="Times New Roman" w:hAnsi="Times New Roman" w:cs="Times New Roman"/>
          <w:sz w:val="20"/>
          <w:szCs w:val="20"/>
        </w:rPr>
        <w:t xml:space="preserve">, K., Uchida, S., </w:t>
      </w:r>
      <w:proofErr w:type="spellStart"/>
      <w:r w:rsidRPr="003C05E7">
        <w:rPr>
          <w:rFonts w:ascii="Times New Roman" w:hAnsi="Times New Roman" w:cs="Times New Roman"/>
          <w:sz w:val="20"/>
          <w:szCs w:val="20"/>
        </w:rPr>
        <w:t>Rigol</w:t>
      </w:r>
      <w:proofErr w:type="spellEnd"/>
      <w:r w:rsidRPr="003C05E7">
        <w:rPr>
          <w:rFonts w:ascii="Times New Roman" w:hAnsi="Times New Roman" w:cs="Times New Roman"/>
          <w:sz w:val="20"/>
          <w:szCs w:val="20"/>
        </w:rPr>
        <w:t xml:space="preserve">, A., &amp; Vidal, M. (2009). New best estimates for radionuclide solid-liquid distribution coefficients in soils. Part 3: Miscellany of radionuclides (Cd, Co, Ni, Zn, I, Se, Sb, Pu, Am, and others). Journal of Environmental Radioactivity, 100(9), 704–715. </w:t>
      </w:r>
      <w:hyperlink r:id="rId26" w:history="1">
        <w:r w:rsidR="00D3135F" w:rsidRPr="009452FA">
          <w:rPr>
            <w:rStyle w:val="Hyperlink"/>
            <w:rFonts w:ascii="Times New Roman" w:hAnsi="Times New Roman" w:cs="Times New Roman"/>
            <w:sz w:val="20"/>
            <w:szCs w:val="20"/>
          </w:rPr>
          <w:t>https://doi.org/10.1016/j.jenvrad.2008.12.001</w:t>
        </w:r>
      </w:hyperlink>
    </w:p>
    <w:p w14:paraId="06794600" w14:textId="77777777" w:rsidR="00D3135F" w:rsidRPr="003C05E7" w:rsidRDefault="00D3135F" w:rsidP="003C05E7">
      <w:pPr>
        <w:spacing w:after="0" w:line="240" w:lineRule="auto"/>
        <w:jc w:val="both"/>
        <w:rPr>
          <w:rFonts w:ascii="Times New Roman" w:hAnsi="Times New Roman" w:cs="Times New Roman"/>
          <w:sz w:val="20"/>
          <w:szCs w:val="20"/>
        </w:rPr>
      </w:pPr>
    </w:p>
    <w:p w14:paraId="763CF918" w14:textId="3CDCD3DC" w:rsidR="003C05E7" w:rsidRDefault="003C05E7" w:rsidP="003C05E7">
      <w:pPr>
        <w:spacing w:after="0" w:line="240" w:lineRule="auto"/>
        <w:jc w:val="both"/>
        <w:rPr>
          <w:rFonts w:ascii="Times New Roman" w:hAnsi="Times New Roman" w:cs="Times New Roman"/>
          <w:sz w:val="20"/>
          <w:szCs w:val="20"/>
        </w:rPr>
      </w:pPr>
      <w:proofErr w:type="spellStart"/>
      <w:r w:rsidRPr="003C05E7">
        <w:rPr>
          <w:rFonts w:ascii="Times New Roman" w:hAnsi="Times New Roman" w:cs="Times New Roman"/>
          <w:sz w:val="20"/>
          <w:szCs w:val="20"/>
        </w:rPr>
        <w:t>Girigisu</w:t>
      </w:r>
      <w:proofErr w:type="spellEnd"/>
      <w:r w:rsidRPr="003C05E7">
        <w:rPr>
          <w:rFonts w:ascii="Times New Roman" w:hAnsi="Times New Roman" w:cs="Times New Roman"/>
          <w:sz w:val="20"/>
          <w:szCs w:val="20"/>
        </w:rPr>
        <w:t xml:space="preserve">, S., </w:t>
      </w:r>
      <w:proofErr w:type="spellStart"/>
      <w:r w:rsidRPr="003C05E7">
        <w:rPr>
          <w:rFonts w:ascii="Times New Roman" w:hAnsi="Times New Roman" w:cs="Times New Roman"/>
          <w:sz w:val="20"/>
          <w:szCs w:val="20"/>
        </w:rPr>
        <w:t>Ibeanu</w:t>
      </w:r>
      <w:proofErr w:type="spellEnd"/>
      <w:r w:rsidRPr="003C05E7">
        <w:rPr>
          <w:rFonts w:ascii="Times New Roman" w:hAnsi="Times New Roman" w:cs="Times New Roman"/>
          <w:sz w:val="20"/>
          <w:szCs w:val="20"/>
        </w:rPr>
        <w:t xml:space="preserve">, I. G. E., Adeyemo, D. J., </w:t>
      </w:r>
      <w:proofErr w:type="spellStart"/>
      <w:r w:rsidRPr="003C05E7">
        <w:rPr>
          <w:rFonts w:ascii="Times New Roman" w:hAnsi="Times New Roman" w:cs="Times New Roman"/>
          <w:sz w:val="20"/>
          <w:szCs w:val="20"/>
        </w:rPr>
        <w:t>Onoja</w:t>
      </w:r>
      <w:proofErr w:type="spellEnd"/>
      <w:r w:rsidRPr="003C05E7">
        <w:rPr>
          <w:rFonts w:ascii="Times New Roman" w:hAnsi="Times New Roman" w:cs="Times New Roman"/>
          <w:sz w:val="20"/>
          <w:szCs w:val="20"/>
        </w:rPr>
        <w:t xml:space="preserve">, R. A., </w:t>
      </w:r>
      <w:proofErr w:type="spellStart"/>
      <w:r w:rsidRPr="003C05E7">
        <w:rPr>
          <w:rFonts w:ascii="Times New Roman" w:hAnsi="Times New Roman" w:cs="Times New Roman"/>
          <w:sz w:val="20"/>
          <w:szCs w:val="20"/>
        </w:rPr>
        <w:t>Bappah</w:t>
      </w:r>
      <w:proofErr w:type="spellEnd"/>
      <w:r w:rsidRPr="003C05E7">
        <w:rPr>
          <w:rFonts w:ascii="Times New Roman" w:hAnsi="Times New Roman" w:cs="Times New Roman"/>
          <w:sz w:val="20"/>
          <w:szCs w:val="20"/>
        </w:rPr>
        <w:t xml:space="preserve">, I. A., &amp; </w:t>
      </w:r>
      <w:proofErr w:type="spellStart"/>
      <w:r w:rsidRPr="003C05E7">
        <w:rPr>
          <w:rFonts w:ascii="Times New Roman" w:hAnsi="Times New Roman" w:cs="Times New Roman"/>
          <w:sz w:val="20"/>
          <w:szCs w:val="20"/>
        </w:rPr>
        <w:t>Okoh</w:t>
      </w:r>
      <w:proofErr w:type="spellEnd"/>
      <w:r w:rsidRPr="003C05E7">
        <w:rPr>
          <w:rFonts w:ascii="Times New Roman" w:hAnsi="Times New Roman" w:cs="Times New Roman"/>
          <w:sz w:val="20"/>
          <w:szCs w:val="20"/>
        </w:rPr>
        <w:t>, S. (2013). Scholars Research Library Journal Archives of Applied Science Research, 5, 204–210.</w:t>
      </w:r>
    </w:p>
    <w:p w14:paraId="7EB8638D" w14:textId="77777777" w:rsidR="00D3135F" w:rsidRPr="003C05E7" w:rsidRDefault="00D3135F" w:rsidP="003C05E7">
      <w:pPr>
        <w:spacing w:after="0" w:line="240" w:lineRule="auto"/>
        <w:jc w:val="both"/>
        <w:rPr>
          <w:rFonts w:ascii="Times New Roman" w:hAnsi="Times New Roman" w:cs="Times New Roman"/>
          <w:sz w:val="20"/>
          <w:szCs w:val="20"/>
        </w:rPr>
      </w:pPr>
    </w:p>
    <w:p w14:paraId="1C2CFDD0" w14:textId="5BAFC13A"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IAEA. (1989). Measurement of radionuclides in food and the environment: A guidebook (Technical Reports Series No. 295). International Atomic Energy Agency.</w:t>
      </w:r>
    </w:p>
    <w:p w14:paraId="0094BF71" w14:textId="77777777" w:rsidR="00974B3D" w:rsidRPr="003C05E7" w:rsidRDefault="00974B3D" w:rsidP="003C05E7">
      <w:pPr>
        <w:spacing w:after="0" w:line="240" w:lineRule="auto"/>
        <w:jc w:val="both"/>
        <w:rPr>
          <w:rFonts w:ascii="Times New Roman" w:hAnsi="Times New Roman" w:cs="Times New Roman"/>
          <w:sz w:val="20"/>
          <w:szCs w:val="20"/>
        </w:rPr>
      </w:pPr>
    </w:p>
    <w:p w14:paraId="0511E437" w14:textId="4E64E026"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ICRP. (1990). 1990 recommendations of the International Commission on Radiological Protection (ICRP Publication 60). Pergamon Press.</w:t>
      </w:r>
    </w:p>
    <w:p w14:paraId="0EF803A0" w14:textId="77777777" w:rsidR="00974B3D" w:rsidRPr="003C05E7" w:rsidRDefault="00974B3D" w:rsidP="003C05E7">
      <w:pPr>
        <w:spacing w:after="0" w:line="240" w:lineRule="auto"/>
        <w:jc w:val="both"/>
        <w:rPr>
          <w:rFonts w:ascii="Times New Roman" w:hAnsi="Times New Roman" w:cs="Times New Roman"/>
          <w:sz w:val="20"/>
          <w:szCs w:val="20"/>
        </w:rPr>
      </w:pPr>
    </w:p>
    <w:p w14:paraId="1A6CC8AE" w14:textId="3667FD15"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ICRP. (2007). The 2007 recommendations of the International Commission on Radiological Protection (ICRP Publication 103). Annals of the ICRP, 37(2–4), 1–332. </w:t>
      </w:r>
      <w:hyperlink r:id="rId27" w:history="1">
        <w:r w:rsidR="00974B3D" w:rsidRPr="009452FA">
          <w:rPr>
            <w:rStyle w:val="Hyperlink"/>
            <w:rFonts w:ascii="Times New Roman" w:hAnsi="Times New Roman" w:cs="Times New Roman"/>
            <w:sz w:val="20"/>
            <w:szCs w:val="20"/>
          </w:rPr>
          <w:t>https://doi.org/10.1016/j.icrp.2007.10.003</w:t>
        </w:r>
      </w:hyperlink>
    </w:p>
    <w:p w14:paraId="38C066B4" w14:textId="77777777" w:rsidR="00974B3D" w:rsidRPr="003C05E7" w:rsidRDefault="00974B3D" w:rsidP="003C05E7">
      <w:pPr>
        <w:spacing w:after="0" w:line="240" w:lineRule="auto"/>
        <w:jc w:val="both"/>
        <w:rPr>
          <w:rFonts w:ascii="Times New Roman" w:hAnsi="Times New Roman" w:cs="Times New Roman"/>
          <w:sz w:val="20"/>
          <w:szCs w:val="20"/>
        </w:rPr>
      </w:pPr>
    </w:p>
    <w:p w14:paraId="5A5B859D" w14:textId="1A3235B6"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ICRP. (2008). Nuclear decay data for </w:t>
      </w:r>
      <w:proofErr w:type="spellStart"/>
      <w:r w:rsidRPr="003C05E7">
        <w:rPr>
          <w:rFonts w:ascii="Times New Roman" w:hAnsi="Times New Roman" w:cs="Times New Roman"/>
          <w:sz w:val="20"/>
          <w:szCs w:val="20"/>
        </w:rPr>
        <w:t>dosimetric</w:t>
      </w:r>
      <w:proofErr w:type="spellEnd"/>
      <w:r w:rsidRPr="003C05E7">
        <w:rPr>
          <w:rFonts w:ascii="Times New Roman" w:hAnsi="Times New Roman" w:cs="Times New Roman"/>
          <w:sz w:val="20"/>
          <w:szCs w:val="20"/>
        </w:rPr>
        <w:t xml:space="preserve"> calculations (</w:t>
      </w:r>
      <w:proofErr w:type="spellStart"/>
      <w:r w:rsidRPr="003C05E7">
        <w:rPr>
          <w:rFonts w:ascii="Times New Roman" w:hAnsi="Times New Roman" w:cs="Times New Roman"/>
          <w:sz w:val="20"/>
          <w:szCs w:val="20"/>
        </w:rPr>
        <w:t>ICRP</w:t>
      </w:r>
      <w:proofErr w:type="spellEnd"/>
      <w:r w:rsidRPr="003C05E7">
        <w:rPr>
          <w:rFonts w:ascii="Times New Roman" w:hAnsi="Times New Roman" w:cs="Times New Roman"/>
          <w:sz w:val="20"/>
          <w:szCs w:val="20"/>
        </w:rPr>
        <w:t xml:space="preserve"> Publication 107). Annals of the ICRP, 38(3). Elsevier.</w:t>
      </w:r>
    </w:p>
    <w:p w14:paraId="1343586B" w14:textId="77777777" w:rsidR="00974B3D" w:rsidRPr="003C05E7" w:rsidRDefault="00974B3D" w:rsidP="003C05E7">
      <w:pPr>
        <w:spacing w:after="0" w:line="240" w:lineRule="auto"/>
        <w:jc w:val="both"/>
        <w:rPr>
          <w:rFonts w:ascii="Times New Roman" w:hAnsi="Times New Roman" w:cs="Times New Roman"/>
          <w:sz w:val="20"/>
          <w:szCs w:val="20"/>
        </w:rPr>
      </w:pPr>
    </w:p>
    <w:p w14:paraId="0421C00A" w14:textId="60C1979F" w:rsidR="003C05E7" w:rsidRDefault="003C05E7" w:rsidP="003C05E7">
      <w:pPr>
        <w:spacing w:after="0" w:line="240" w:lineRule="auto"/>
        <w:jc w:val="both"/>
        <w:rPr>
          <w:rFonts w:ascii="Times New Roman" w:hAnsi="Times New Roman" w:cs="Times New Roman"/>
          <w:sz w:val="20"/>
          <w:szCs w:val="20"/>
        </w:rPr>
      </w:pPr>
      <w:proofErr w:type="spellStart"/>
      <w:r w:rsidRPr="003C05E7">
        <w:rPr>
          <w:rFonts w:ascii="Times New Roman" w:hAnsi="Times New Roman" w:cs="Times New Roman"/>
          <w:sz w:val="20"/>
          <w:szCs w:val="20"/>
        </w:rPr>
        <w:t>Jegede</w:t>
      </w:r>
      <w:proofErr w:type="spellEnd"/>
      <w:r w:rsidRPr="003C05E7">
        <w:rPr>
          <w:rFonts w:ascii="Times New Roman" w:hAnsi="Times New Roman" w:cs="Times New Roman"/>
          <w:sz w:val="20"/>
          <w:szCs w:val="20"/>
        </w:rPr>
        <w:t xml:space="preserve">, D. O., Afolabi, T. A., &amp; </w:t>
      </w:r>
      <w:proofErr w:type="spellStart"/>
      <w:r w:rsidRPr="003C05E7">
        <w:rPr>
          <w:rFonts w:ascii="Times New Roman" w:hAnsi="Times New Roman" w:cs="Times New Roman"/>
          <w:sz w:val="20"/>
          <w:szCs w:val="20"/>
        </w:rPr>
        <w:t>Agunbiade</w:t>
      </w:r>
      <w:proofErr w:type="spellEnd"/>
      <w:r w:rsidRPr="003C05E7">
        <w:rPr>
          <w:rFonts w:ascii="Times New Roman" w:hAnsi="Times New Roman" w:cs="Times New Roman"/>
          <w:sz w:val="20"/>
          <w:szCs w:val="20"/>
        </w:rPr>
        <w:t xml:space="preserve">, F. O. (2025). Spatial distribution and radiological hazards assessment of naturally occurring radionuclide materials in soil from quarry sites in Ogun State, Nigeria. Environmental Monitoring and Assessment, 197, 575. </w:t>
      </w:r>
      <w:hyperlink r:id="rId28" w:history="1">
        <w:r w:rsidR="00974B3D" w:rsidRPr="009452FA">
          <w:rPr>
            <w:rStyle w:val="Hyperlink"/>
            <w:rFonts w:ascii="Times New Roman" w:hAnsi="Times New Roman" w:cs="Times New Roman"/>
            <w:sz w:val="20"/>
            <w:szCs w:val="20"/>
          </w:rPr>
          <w:t>https://doi.org/10.1007/s10661-025-13988-6</w:t>
        </w:r>
      </w:hyperlink>
    </w:p>
    <w:p w14:paraId="55E018FF" w14:textId="77777777" w:rsidR="00974B3D" w:rsidRPr="003C05E7" w:rsidRDefault="00974B3D" w:rsidP="003C05E7">
      <w:pPr>
        <w:spacing w:after="0" w:line="240" w:lineRule="auto"/>
        <w:jc w:val="both"/>
        <w:rPr>
          <w:rFonts w:ascii="Times New Roman" w:hAnsi="Times New Roman" w:cs="Times New Roman"/>
          <w:sz w:val="20"/>
          <w:szCs w:val="20"/>
        </w:rPr>
      </w:pPr>
    </w:p>
    <w:p w14:paraId="1DD0F79B" w14:textId="5A5B764B"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Muhammad, A. N., Ismail, A. F., &amp; </w:t>
      </w:r>
      <w:proofErr w:type="spellStart"/>
      <w:r w:rsidRPr="003C05E7">
        <w:rPr>
          <w:rFonts w:ascii="Times New Roman" w:hAnsi="Times New Roman" w:cs="Times New Roman"/>
          <w:sz w:val="20"/>
          <w:szCs w:val="20"/>
        </w:rPr>
        <w:t>Garba</w:t>
      </w:r>
      <w:proofErr w:type="spellEnd"/>
      <w:r w:rsidRPr="003C05E7">
        <w:rPr>
          <w:rFonts w:ascii="Times New Roman" w:hAnsi="Times New Roman" w:cs="Times New Roman"/>
          <w:sz w:val="20"/>
          <w:szCs w:val="20"/>
        </w:rPr>
        <w:t xml:space="preserve">, N. N. (2024). Natural radioactivity in food crops and soil and estimation of the concomitant dose from tin mining areas in Nigeria. Journal of Taibah University for Science, 19, Article 2366507. </w:t>
      </w:r>
      <w:hyperlink r:id="rId29" w:history="1">
        <w:r w:rsidR="00974B3D" w:rsidRPr="009452FA">
          <w:rPr>
            <w:rStyle w:val="Hyperlink"/>
            <w:rFonts w:ascii="Times New Roman" w:hAnsi="Times New Roman" w:cs="Times New Roman"/>
            <w:sz w:val="20"/>
            <w:szCs w:val="20"/>
          </w:rPr>
          <w:t>https://doi.org/10.1080/16583655.2024.2366507</w:t>
        </w:r>
      </w:hyperlink>
    </w:p>
    <w:p w14:paraId="7765A4B1" w14:textId="77777777" w:rsidR="00974B3D" w:rsidRPr="003C05E7" w:rsidRDefault="00974B3D" w:rsidP="003C05E7">
      <w:pPr>
        <w:spacing w:after="0" w:line="240" w:lineRule="auto"/>
        <w:jc w:val="both"/>
        <w:rPr>
          <w:rFonts w:ascii="Times New Roman" w:hAnsi="Times New Roman" w:cs="Times New Roman"/>
          <w:sz w:val="20"/>
          <w:szCs w:val="20"/>
        </w:rPr>
      </w:pPr>
    </w:p>
    <w:p w14:paraId="74B7C315"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NAGIS. (2018). Map of </w:t>
      </w:r>
      <w:proofErr w:type="spellStart"/>
      <w:r w:rsidRPr="003C05E7">
        <w:rPr>
          <w:rFonts w:ascii="Times New Roman" w:hAnsi="Times New Roman" w:cs="Times New Roman"/>
          <w:sz w:val="20"/>
          <w:szCs w:val="20"/>
        </w:rPr>
        <w:t>Mpape</w:t>
      </w:r>
      <w:proofErr w:type="spellEnd"/>
      <w:r w:rsidRPr="003C05E7">
        <w:rPr>
          <w:rFonts w:ascii="Times New Roman" w:hAnsi="Times New Roman" w:cs="Times New Roman"/>
          <w:sz w:val="20"/>
          <w:szCs w:val="20"/>
        </w:rPr>
        <w:t xml:space="preserve"> Quarry, </w:t>
      </w:r>
      <w:proofErr w:type="spellStart"/>
      <w:r w:rsidRPr="003C05E7">
        <w:rPr>
          <w:rFonts w:ascii="Times New Roman" w:hAnsi="Times New Roman" w:cs="Times New Roman"/>
          <w:sz w:val="20"/>
          <w:szCs w:val="20"/>
        </w:rPr>
        <w:t>Bwari</w:t>
      </w:r>
      <w:proofErr w:type="spellEnd"/>
      <w:r w:rsidRPr="003C05E7">
        <w:rPr>
          <w:rFonts w:ascii="Times New Roman" w:hAnsi="Times New Roman" w:cs="Times New Roman"/>
          <w:sz w:val="20"/>
          <w:szCs w:val="20"/>
        </w:rPr>
        <w:t xml:space="preserve"> Area Council, FCT Abuja. National Geographic Information System.</w:t>
      </w:r>
    </w:p>
    <w:p w14:paraId="0F462ABA" w14:textId="77777777" w:rsidR="00D3135F" w:rsidRDefault="00D3135F" w:rsidP="003C05E7">
      <w:pPr>
        <w:spacing w:after="0" w:line="240" w:lineRule="auto"/>
        <w:jc w:val="both"/>
        <w:rPr>
          <w:rFonts w:ascii="Times New Roman" w:hAnsi="Times New Roman" w:cs="Times New Roman"/>
          <w:sz w:val="20"/>
          <w:szCs w:val="20"/>
        </w:rPr>
      </w:pPr>
    </w:p>
    <w:p w14:paraId="48C3EB4C" w14:textId="78B9E9AB" w:rsidR="003C05E7" w:rsidRPr="003C05E7" w:rsidRDefault="003C05E7" w:rsidP="003C05E7">
      <w:pPr>
        <w:spacing w:after="0" w:line="240" w:lineRule="auto"/>
        <w:jc w:val="both"/>
        <w:rPr>
          <w:rFonts w:ascii="Times New Roman" w:hAnsi="Times New Roman" w:cs="Times New Roman"/>
          <w:sz w:val="20"/>
          <w:szCs w:val="20"/>
        </w:rPr>
      </w:pPr>
      <w:proofErr w:type="spellStart"/>
      <w:r w:rsidRPr="003C05E7">
        <w:rPr>
          <w:rFonts w:ascii="Times New Roman" w:hAnsi="Times New Roman" w:cs="Times New Roman"/>
          <w:sz w:val="20"/>
          <w:szCs w:val="20"/>
        </w:rPr>
        <w:t>Njinga</w:t>
      </w:r>
      <w:proofErr w:type="spellEnd"/>
      <w:r w:rsidRPr="003C05E7">
        <w:rPr>
          <w:rFonts w:ascii="Times New Roman" w:hAnsi="Times New Roman" w:cs="Times New Roman"/>
          <w:sz w:val="20"/>
          <w:szCs w:val="20"/>
        </w:rPr>
        <w:t xml:space="preserve">, R. L., &amp; </w:t>
      </w:r>
      <w:proofErr w:type="spellStart"/>
      <w:r w:rsidRPr="003C05E7">
        <w:rPr>
          <w:rFonts w:ascii="Times New Roman" w:hAnsi="Times New Roman" w:cs="Times New Roman"/>
          <w:sz w:val="20"/>
          <w:szCs w:val="20"/>
        </w:rPr>
        <w:t>Tshivhase</w:t>
      </w:r>
      <w:proofErr w:type="spellEnd"/>
      <w:r w:rsidRPr="003C05E7">
        <w:rPr>
          <w:rFonts w:ascii="Times New Roman" w:hAnsi="Times New Roman" w:cs="Times New Roman"/>
          <w:sz w:val="20"/>
          <w:szCs w:val="20"/>
        </w:rPr>
        <w:t>, V. M. (2018). Use of RESRAD-Onsite 7.2 code to assess environmental risk around Tudor Shaft mine tailing sites. Environment and Natural Resources Research, 8(3), 138–147.</w:t>
      </w:r>
    </w:p>
    <w:p w14:paraId="3C328234" w14:textId="77777777" w:rsidR="00D3135F" w:rsidRDefault="00D3135F" w:rsidP="003C05E7">
      <w:pPr>
        <w:spacing w:after="0" w:line="240" w:lineRule="auto"/>
        <w:jc w:val="both"/>
        <w:rPr>
          <w:rFonts w:ascii="Times New Roman" w:hAnsi="Times New Roman" w:cs="Times New Roman"/>
          <w:sz w:val="20"/>
          <w:szCs w:val="20"/>
        </w:rPr>
      </w:pPr>
    </w:p>
    <w:p w14:paraId="1F26A764" w14:textId="62E6680C"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NNRA. (2012). Basic ionizing radiation regulations. Nigerian Nuclear Regulatory Authority.</w:t>
      </w:r>
    </w:p>
    <w:p w14:paraId="6427B8B8" w14:textId="77777777" w:rsidR="00D3135F" w:rsidRDefault="00D3135F" w:rsidP="003C05E7">
      <w:pPr>
        <w:spacing w:after="0" w:line="240" w:lineRule="auto"/>
        <w:jc w:val="both"/>
        <w:rPr>
          <w:rFonts w:ascii="Times New Roman" w:hAnsi="Times New Roman" w:cs="Times New Roman"/>
          <w:sz w:val="20"/>
          <w:szCs w:val="20"/>
        </w:rPr>
      </w:pPr>
    </w:p>
    <w:p w14:paraId="28F06692" w14:textId="4E1058B3" w:rsidR="003C05E7" w:rsidRPr="003C05E7" w:rsidRDefault="003C05E7" w:rsidP="003C05E7">
      <w:pPr>
        <w:spacing w:after="0" w:line="240" w:lineRule="auto"/>
        <w:jc w:val="both"/>
        <w:rPr>
          <w:rFonts w:ascii="Times New Roman" w:hAnsi="Times New Roman" w:cs="Times New Roman"/>
          <w:sz w:val="20"/>
          <w:szCs w:val="20"/>
        </w:rPr>
      </w:pPr>
      <w:proofErr w:type="spellStart"/>
      <w:r w:rsidRPr="003C05E7">
        <w:rPr>
          <w:rFonts w:ascii="Times New Roman" w:hAnsi="Times New Roman" w:cs="Times New Roman"/>
          <w:sz w:val="20"/>
          <w:szCs w:val="20"/>
        </w:rPr>
        <w:t>Ofomola</w:t>
      </w:r>
      <w:proofErr w:type="spellEnd"/>
      <w:r w:rsidRPr="003C05E7">
        <w:rPr>
          <w:rFonts w:ascii="Times New Roman" w:hAnsi="Times New Roman" w:cs="Times New Roman"/>
          <w:sz w:val="20"/>
          <w:szCs w:val="20"/>
        </w:rPr>
        <w:t xml:space="preserve">, O. M., </w:t>
      </w:r>
      <w:proofErr w:type="spellStart"/>
      <w:r w:rsidRPr="003C05E7">
        <w:rPr>
          <w:rFonts w:ascii="Times New Roman" w:hAnsi="Times New Roman" w:cs="Times New Roman"/>
          <w:sz w:val="20"/>
          <w:szCs w:val="20"/>
        </w:rPr>
        <w:t>Ugbede</w:t>
      </w:r>
      <w:proofErr w:type="spellEnd"/>
      <w:r w:rsidRPr="003C05E7">
        <w:rPr>
          <w:rFonts w:ascii="Times New Roman" w:hAnsi="Times New Roman" w:cs="Times New Roman"/>
          <w:sz w:val="20"/>
          <w:szCs w:val="20"/>
        </w:rPr>
        <w:t xml:space="preserve">, F. O., &amp; </w:t>
      </w:r>
      <w:proofErr w:type="spellStart"/>
      <w:r w:rsidRPr="003C05E7">
        <w:rPr>
          <w:rFonts w:ascii="Times New Roman" w:hAnsi="Times New Roman" w:cs="Times New Roman"/>
          <w:sz w:val="20"/>
          <w:szCs w:val="20"/>
        </w:rPr>
        <w:t>Anomohanran</w:t>
      </w:r>
      <w:proofErr w:type="spellEnd"/>
      <w:r w:rsidRPr="003C05E7">
        <w:rPr>
          <w:rFonts w:ascii="Times New Roman" w:hAnsi="Times New Roman" w:cs="Times New Roman"/>
          <w:sz w:val="20"/>
          <w:szCs w:val="20"/>
        </w:rPr>
        <w:t xml:space="preserve">, O. (2023). Environmental risk assessment of background radiation, natural radioactivity and toxic elements in rocks and soils of </w:t>
      </w:r>
      <w:proofErr w:type="spellStart"/>
      <w:r w:rsidRPr="003C05E7">
        <w:rPr>
          <w:rFonts w:ascii="Times New Roman" w:hAnsi="Times New Roman" w:cs="Times New Roman"/>
          <w:sz w:val="20"/>
          <w:szCs w:val="20"/>
        </w:rPr>
        <w:t>Nkalagu</w:t>
      </w:r>
      <w:proofErr w:type="spellEnd"/>
      <w:r w:rsidRPr="003C05E7">
        <w:rPr>
          <w:rFonts w:ascii="Times New Roman" w:hAnsi="Times New Roman" w:cs="Times New Roman"/>
          <w:sz w:val="20"/>
          <w:szCs w:val="20"/>
        </w:rPr>
        <w:t xml:space="preserve"> quarry, Southeastern Nigeria. Journal of Hazardous Materials Advances. </w:t>
      </w:r>
      <w:hyperlink r:id="rId30" w:history="1">
        <w:r w:rsidRPr="003C05E7">
          <w:rPr>
            <w:rStyle w:val="Hyperlink"/>
            <w:rFonts w:ascii="Times New Roman" w:hAnsi="Times New Roman" w:cs="Times New Roman"/>
            <w:sz w:val="20"/>
            <w:szCs w:val="20"/>
          </w:rPr>
          <w:t>https://doi.org/10.1016/j.hazadv.2023.100288</w:t>
        </w:r>
      </w:hyperlink>
    </w:p>
    <w:p w14:paraId="097E51AF" w14:textId="77777777" w:rsidR="00D3135F" w:rsidRDefault="00D3135F" w:rsidP="003C05E7">
      <w:pPr>
        <w:spacing w:after="0" w:line="240" w:lineRule="auto"/>
        <w:jc w:val="both"/>
        <w:rPr>
          <w:rFonts w:ascii="Times New Roman" w:hAnsi="Times New Roman" w:cs="Times New Roman"/>
          <w:sz w:val="20"/>
          <w:szCs w:val="20"/>
        </w:rPr>
      </w:pPr>
    </w:p>
    <w:p w14:paraId="299BAE35" w14:textId="2FEBF0B6" w:rsidR="003C05E7" w:rsidRPr="003C05E7" w:rsidRDefault="003C05E7" w:rsidP="003C05E7">
      <w:pPr>
        <w:spacing w:after="0" w:line="240" w:lineRule="auto"/>
        <w:jc w:val="both"/>
        <w:rPr>
          <w:rFonts w:ascii="Times New Roman" w:hAnsi="Times New Roman" w:cs="Times New Roman"/>
          <w:sz w:val="20"/>
          <w:szCs w:val="20"/>
        </w:rPr>
      </w:pPr>
      <w:proofErr w:type="spellStart"/>
      <w:r w:rsidRPr="003C05E7">
        <w:rPr>
          <w:rFonts w:ascii="Times New Roman" w:hAnsi="Times New Roman" w:cs="Times New Roman"/>
          <w:sz w:val="20"/>
          <w:szCs w:val="20"/>
        </w:rPr>
        <w:t>Ojo</w:t>
      </w:r>
      <w:proofErr w:type="spellEnd"/>
      <w:r w:rsidRPr="003C05E7">
        <w:rPr>
          <w:rFonts w:ascii="Times New Roman" w:hAnsi="Times New Roman" w:cs="Times New Roman"/>
          <w:sz w:val="20"/>
          <w:szCs w:val="20"/>
        </w:rPr>
        <w:t xml:space="preserve">, E. O., </w:t>
      </w:r>
      <w:proofErr w:type="spellStart"/>
      <w:r w:rsidRPr="003C05E7">
        <w:rPr>
          <w:rFonts w:ascii="Times New Roman" w:hAnsi="Times New Roman" w:cs="Times New Roman"/>
          <w:sz w:val="20"/>
          <w:szCs w:val="20"/>
        </w:rPr>
        <w:t>Abdulahi</w:t>
      </w:r>
      <w:proofErr w:type="spellEnd"/>
      <w:r w:rsidRPr="003C05E7">
        <w:rPr>
          <w:rFonts w:ascii="Times New Roman" w:hAnsi="Times New Roman" w:cs="Times New Roman"/>
          <w:sz w:val="20"/>
          <w:szCs w:val="20"/>
        </w:rPr>
        <w:t xml:space="preserve">, H. A., </w:t>
      </w:r>
      <w:proofErr w:type="spellStart"/>
      <w:r w:rsidRPr="003C05E7">
        <w:rPr>
          <w:rFonts w:ascii="Times New Roman" w:hAnsi="Times New Roman" w:cs="Times New Roman"/>
          <w:sz w:val="20"/>
          <w:szCs w:val="20"/>
        </w:rPr>
        <w:t>Adelowo</w:t>
      </w:r>
      <w:proofErr w:type="spellEnd"/>
      <w:r w:rsidRPr="003C05E7">
        <w:rPr>
          <w:rFonts w:ascii="Times New Roman" w:hAnsi="Times New Roman" w:cs="Times New Roman"/>
          <w:sz w:val="20"/>
          <w:szCs w:val="20"/>
        </w:rPr>
        <w:t xml:space="preserve">, A. A., Tine, A. A., Dauda, A. K., Shittu, H. O., Aliyu, A., &amp; </w:t>
      </w:r>
      <w:proofErr w:type="spellStart"/>
      <w:r w:rsidRPr="003C05E7">
        <w:rPr>
          <w:rFonts w:ascii="Times New Roman" w:hAnsi="Times New Roman" w:cs="Times New Roman"/>
          <w:sz w:val="20"/>
          <w:szCs w:val="20"/>
        </w:rPr>
        <w:t>Egga</w:t>
      </w:r>
      <w:proofErr w:type="spellEnd"/>
      <w:r w:rsidRPr="003C05E7">
        <w:rPr>
          <w:rFonts w:ascii="Times New Roman" w:hAnsi="Times New Roman" w:cs="Times New Roman"/>
          <w:sz w:val="20"/>
          <w:szCs w:val="20"/>
        </w:rPr>
        <w:t xml:space="preserve">, A. A. (2024). Radiological assessment of background radiation and its associated risk in Junior Secondary School </w:t>
      </w:r>
      <w:proofErr w:type="spellStart"/>
      <w:r w:rsidRPr="003C05E7">
        <w:rPr>
          <w:rFonts w:ascii="Times New Roman" w:hAnsi="Times New Roman" w:cs="Times New Roman"/>
          <w:sz w:val="20"/>
          <w:szCs w:val="20"/>
        </w:rPr>
        <w:t>Idu</w:t>
      </w:r>
      <w:proofErr w:type="spellEnd"/>
      <w:r w:rsidRPr="003C05E7">
        <w:rPr>
          <w:rFonts w:ascii="Times New Roman" w:hAnsi="Times New Roman" w:cs="Times New Roman"/>
          <w:sz w:val="20"/>
          <w:szCs w:val="20"/>
        </w:rPr>
        <w:t>-Koro Abuja, Nigeria. Nigerian Journal of Physics, 33(2), 70–74.</w:t>
      </w:r>
    </w:p>
    <w:p w14:paraId="18DEA1A5" w14:textId="77777777" w:rsidR="00D3135F" w:rsidRDefault="00D3135F" w:rsidP="003C05E7">
      <w:pPr>
        <w:spacing w:after="0" w:line="240" w:lineRule="auto"/>
        <w:jc w:val="both"/>
        <w:rPr>
          <w:rFonts w:ascii="Times New Roman" w:hAnsi="Times New Roman" w:cs="Times New Roman"/>
          <w:sz w:val="20"/>
          <w:szCs w:val="20"/>
        </w:rPr>
      </w:pPr>
    </w:p>
    <w:p w14:paraId="5476DF73" w14:textId="180BD45D" w:rsidR="003C05E7" w:rsidRDefault="003C05E7" w:rsidP="003C05E7">
      <w:pPr>
        <w:spacing w:after="0" w:line="240" w:lineRule="auto"/>
        <w:jc w:val="both"/>
        <w:rPr>
          <w:rFonts w:ascii="Times New Roman" w:hAnsi="Times New Roman" w:cs="Times New Roman"/>
          <w:sz w:val="20"/>
          <w:szCs w:val="20"/>
        </w:rPr>
      </w:pPr>
      <w:proofErr w:type="spellStart"/>
      <w:r w:rsidRPr="003C05E7">
        <w:rPr>
          <w:rFonts w:ascii="Times New Roman" w:hAnsi="Times New Roman" w:cs="Times New Roman"/>
          <w:sz w:val="20"/>
          <w:szCs w:val="20"/>
        </w:rPr>
        <w:t>Omeiza</w:t>
      </w:r>
      <w:proofErr w:type="spellEnd"/>
      <w:r w:rsidRPr="003C05E7">
        <w:rPr>
          <w:rFonts w:ascii="Times New Roman" w:hAnsi="Times New Roman" w:cs="Times New Roman"/>
          <w:sz w:val="20"/>
          <w:szCs w:val="20"/>
        </w:rPr>
        <w:t xml:space="preserve">, A. E., Danladi, E., &amp; Musa, A. (2022). Assessment of air quality around quarry sites in </w:t>
      </w:r>
      <w:proofErr w:type="spellStart"/>
      <w:r w:rsidRPr="003C05E7">
        <w:rPr>
          <w:rFonts w:ascii="Times New Roman" w:hAnsi="Times New Roman" w:cs="Times New Roman"/>
          <w:sz w:val="20"/>
          <w:szCs w:val="20"/>
        </w:rPr>
        <w:t>Mpape</w:t>
      </w:r>
      <w:proofErr w:type="spellEnd"/>
      <w:r w:rsidRPr="003C05E7">
        <w:rPr>
          <w:rFonts w:ascii="Times New Roman" w:hAnsi="Times New Roman" w:cs="Times New Roman"/>
          <w:sz w:val="20"/>
          <w:szCs w:val="20"/>
        </w:rPr>
        <w:t xml:space="preserve">, </w:t>
      </w:r>
      <w:proofErr w:type="spellStart"/>
      <w:r w:rsidRPr="003C05E7">
        <w:rPr>
          <w:rFonts w:ascii="Times New Roman" w:hAnsi="Times New Roman" w:cs="Times New Roman"/>
          <w:sz w:val="20"/>
          <w:szCs w:val="20"/>
        </w:rPr>
        <w:t>Bwari</w:t>
      </w:r>
      <w:proofErr w:type="spellEnd"/>
      <w:r w:rsidRPr="003C05E7">
        <w:rPr>
          <w:rFonts w:ascii="Times New Roman" w:hAnsi="Times New Roman" w:cs="Times New Roman"/>
          <w:sz w:val="20"/>
          <w:szCs w:val="20"/>
        </w:rPr>
        <w:t xml:space="preserve"> Area Council, FCT Abuja. International Journal of Scientific and Research Publications, 12(4), 212–219. </w:t>
      </w:r>
      <w:hyperlink r:id="rId31" w:history="1">
        <w:r w:rsidR="00D3135F" w:rsidRPr="009452FA">
          <w:rPr>
            <w:rStyle w:val="Hyperlink"/>
            <w:rFonts w:ascii="Times New Roman" w:hAnsi="Times New Roman" w:cs="Times New Roman"/>
            <w:sz w:val="20"/>
            <w:szCs w:val="20"/>
          </w:rPr>
          <w:t>https://doi.org/10.29322/IJSRP.12.04.2022.p12427</w:t>
        </w:r>
      </w:hyperlink>
    </w:p>
    <w:p w14:paraId="42243848" w14:textId="77777777" w:rsidR="00D3135F" w:rsidRPr="003C05E7" w:rsidRDefault="00D3135F" w:rsidP="003C05E7">
      <w:pPr>
        <w:spacing w:after="0" w:line="240" w:lineRule="auto"/>
        <w:jc w:val="both"/>
        <w:rPr>
          <w:rFonts w:ascii="Times New Roman" w:hAnsi="Times New Roman" w:cs="Times New Roman"/>
          <w:sz w:val="20"/>
          <w:szCs w:val="20"/>
        </w:rPr>
      </w:pPr>
    </w:p>
    <w:p w14:paraId="6F672175"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UNSCEAR. (2000). Sources and effects of ionizing radiation: 2000 report to the General Assembly. United Nations.</w:t>
      </w:r>
    </w:p>
    <w:p w14:paraId="627B67CF" w14:textId="77777777"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Walker, S. A. (2013). Revisions to US EPA Superfund risk and dose assessment models and guidance. WM Symposia, Tempe, AZ.</w:t>
      </w:r>
    </w:p>
    <w:p w14:paraId="7D05BB81" w14:textId="77777777" w:rsidR="00D3135F" w:rsidRDefault="00D3135F" w:rsidP="003C05E7">
      <w:pPr>
        <w:spacing w:after="0" w:line="240" w:lineRule="auto"/>
        <w:jc w:val="both"/>
        <w:rPr>
          <w:rFonts w:ascii="Times New Roman" w:hAnsi="Times New Roman" w:cs="Times New Roman"/>
          <w:sz w:val="20"/>
          <w:szCs w:val="20"/>
        </w:rPr>
      </w:pPr>
    </w:p>
    <w:p w14:paraId="334A5607" w14:textId="17A70208"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WHO. (2000). Guidelines for drinking-water quality (2nd ed., Vol. 2: Health criteria and other supporting information). World Health Organization.</w:t>
      </w:r>
    </w:p>
    <w:p w14:paraId="2957903E" w14:textId="77777777" w:rsidR="00D3135F" w:rsidRDefault="00D3135F" w:rsidP="003C05E7">
      <w:pPr>
        <w:spacing w:after="0" w:line="240" w:lineRule="auto"/>
        <w:jc w:val="both"/>
        <w:rPr>
          <w:rFonts w:ascii="Times New Roman" w:hAnsi="Times New Roman" w:cs="Times New Roman"/>
          <w:sz w:val="20"/>
          <w:szCs w:val="20"/>
        </w:rPr>
      </w:pPr>
    </w:p>
    <w:p w14:paraId="45D31E9D" w14:textId="5FF73275" w:rsidR="003C05E7" w:rsidRP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Yu, C. (1987). Modelling of low-level-waste disposal for environmental impact analysis (CONF-870306—70). Argonne National Laboratory.</w:t>
      </w:r>
    </w:p>
    <w:p w14:paraId="68942D9E" w14:textId="77777777" w:rsidR="00D3135F" w:rsidRDefault="00D3135F" w:rsidP="003C05E7">
      <w:pPr>
        <w:spacing w:after="0" w:line="240" w:lineRule="auto"/>
        <w:jc w:val="both"/>
        <w:rPr>
          <w:rFonts w:ascii="Times New Roman" w:hAnsi="Times New Roman" w:cs="Times New Roman"/>
          <w:sz w:val="20"/>
          <w:szCs w:val="20"/>
        </w:rPr>
      </w:pPr>
    </w:p>
    <w:p w14:paraId="4F4A3F3B" w14:textId="187C0338"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Yu, C. (1999). RESRAD family of codes and comparison with other codes for decontamination and restoration of nuclear facilities (Chapter 11, pp. 207–231).</w:t>
      </w:r>
    </w:p>
    <w:p w14:paraId="45B6FFB1" w14:textId="77777777" w:rsidR="00D3135F" w:rsidRPr="003C05E7" w:rsidRDefault="00D3135F" w:rsidP="003C05E7">
      <w:pPr>
        <w:spacing w:after="0" w:line="240" w:lineRule="auto"/>
        <w:jc w:val="both"/>
        <w:rPr>
          <w:rFonts w:ascii="Times New Roman" w:hAnsi="Times New Roman" w:cs="Times New Roman"/>
          <w:sz w:val="20"/>
          <w:szCs w:val="20"/>
        </w:rPr>
      </w:pPr>
    </w:p>
    <w:p w14:paraId="6E689E3C" w14:textId="39B55C1A" w:rsidR="003C05E7" w:rsidRDefault="003C05E7" w:rsidP="003C05E7">
      <w:pPr>
        <w:spacing w:after="0" w:line="240" w:lineRule="auto"/>
        <w:jc w:val="both"/>
        <w:rPr>
          <w:rFonts w:ascii="Times New Roman" w:hAnsi="Times New Roman" w:cs="Times New Roman"/>
          <w:sz w:val="20"/>
          <w:szCs w:val="20"/>
        </w:rPr>
      </w:pPr>
      <w:r w:rsidRPr="003C05E7">
        <w:rPr>
          <w:rFonts w:ascii="Times New Roman" w:hAnsi="Times New Roman" w:cs="Times New Roman"/>
          <w:sz w:val="20"/>
          <w:szCs w:val="20"/>
        </w:rPr>
        <w:t xml:space="preserve">Yu, C., </w:t>
      </w:r>
      <w:proofErr w:type="spellStart"/>
      <w:r w:rsidRPr="003C05E7">
        <w:rPr>
          <w:rFonts w:ascii="Times New Roman" w:hAnsi="Times New Roman" w:cs="Times New Roman"/>
          <w:sz w:val="20"/>
          <w:szCs w:val="20"/>
        </w:rPr>
        <w:t>Orlandini</w:t>
      </w:r>
      <w:proofErr w:type="spellEnd"/>
      <w:r w:rsidRPr="003C05E7">
        <w:rPr>
          <w:rFonts w:ascii="Times New Roman" w:hAnsi="Times New Roman" w:cs="Times New Roman"/>
          <w:sz w:val="20"/>
          <w:szCs w:val="20"/>
        </w:rPr>
        <w:t xml:space="preserve">, K. A., Cheng, J. J., &amp; </w:t>
      </w:r>
      <w:proofErr w:type="spellStart"/>
      <w:r w:rsidRPr="003C05E7">
        <w:rPr>
          <w:rFonts w:ascii="Times New Roman" w:hAnsi="Times New Roman" w:cs="Times New Roman"/>
          <w:sz w:val="20"/>
          <w:szCs w:val="20"/>
        </w:rPr>
        <w:t>Biwer</w:t>
      </w:r>
      <w:proofErr w:type="spellEnd"/>
      <w:r w:rsidRPr="003C05E7">
        <w:rPr>
          <w:rFonts w:ascii="Times New Roman" w:hAnsi="Times New Roman" w:cs="Times New Roman"/>
          <w:sz w:val="20"/>
          <w:szCs w:val="20"/>
        </w:rPr>
        <w:t>, B. M. (2001a). Assessing the impact of hazardous constituents on the mobilization, transport, and fate of radionuclides in RCRA waste disposal units (ANL/EAD/TM-93). Argonne National Laboratory.</w:t>
      </w:r>
    </w:p>
    <w:p w14:paraId="7D9B33E6" w14:textId="77777777" w:rsidR="00D3135F" w:rsidRPr="003C05E7" w:rsidRDefault="00D3135F" w:rsidP="003C05E7">
      <w:pPr>
        <w:spacing w:after="0" w:line="240" w:lineRule="auto"/>
        <w:jc w:val="both"/>
        <w:rPr>
          <w:rFonts w:ascii="Times New Roman" w:hAnsi="Times New Roman" w:cs="Times New Roman"/>
          <w:sz w:val="20"/>
          <w:szCs w:val="20"/>
        </w:rPr>
      </w:pPr>
    </w:p>
    <w:p w14:paraId="4279DCF9" w14:textId="28B69FC9" w:rsidR="00E17F8E" w:rsidRPr="003C05E7" w:rsidRDefault="003C05E7" w:rsidP="003C05E7">
      <w:pPr>
        <w:spacing w:after="0" w:line="240" w:lineRule="auto"/>
        <w:jc w:val="both"/>
        <w:rPr>
          <w:rFonts w:ascii="Times New Roman" w:hAnsi="Times New Roman" w:cs="Times New Roman"/>
          <w:sz w:val="20"/>
          <w:szCs w:val="20"/>
        </w:rPr>
        <w:sectPr w:rsidR="00E17F8E" w:rsidRPr="003C05E7" w:rsidSect="00E17F8E">
          <w:type w:val="continuous"/>
          <w:pgSz w:w="12242" w:h="15842" w:code="1"/>
          <w:pgMar w:top="1440" w:right="1440" w:bottom="1440" w:left="1440" w:header="709" w:footer="709" w:gutter="0"/>
          <w:cols w:num="2" w:space="288"/>
          <w:docGrid w:linePitch="360"/>
        </w:sectPr>
      </w:pPr>
      <w:r w:rsidRPr="003C05E7">
        <w:rPr>
          <w:rFonts w:ascii="Times New Roman" w:hAnsi="Times New Roman" w:cs="Times New Roman"/>
          <w:sz w:val="20"/>
          <w:szCs w:val="20"/>
        </w:rPr>
        <w:t xml:space="preserve">Yu, C., </w:t>
      </w:r>
      <w:proofErr w:type="spellStart"/>
      <w:r w:rsidRPr="003C05E7">
        <w:rPr>
          <w:rFonts w:ascii="Times New Roman" w:hAnsi="Times New Roman" w:cs="Times New Roman"/>
          <w:sz w:val="20"/>
          <w:szCs w:val="20"/>
        </w:rPr>
        <w:t>Zielen</w:t>
      </w:r>
      <w:proofErr w:type="spellEnd"/>
      <w:r w:rsidRPr="003C05E7">
        <w:rPr>
          <w:rFonts w:ascii="Times New Roman" w:hAnsi="Times New Roman" w:cs="Times New Roman"/>
          <w:sz w:val="20"/>
          <w:szCs w:val="20"/>
        </w:rPr>
        <w:t xml:space="preserve">, A. J., Cheng, J. J., </w:t>
      </w:r>
      <w:proofErr w:type="spellStart"/>
      <w:r w:rsidRPr="003C05E7">
        <w:rPr>
          <w:rFonts w:ascii="Times New Roman" w:hAnsi="Times New Roman" w:cs="Times New Roman"/>
          <w:sz w:val="20"/>
          <w:szCs w:val="20"/>
        </w:rPr>
        <w:t>LePoire</w:t>
      </w:r>
      <w:proofErr w:type="spellEnd"/>
      <w:r w:rsidRPr="003C05E7">
        <w:rPr>
          <w:rFonts w:ascii="Times New Roman" w:hAnsi="Times New Roman" w:cs="Times New Roman"/>
          <w:sz w:val="20"/>
          <w:szCs w:val="20"/>
        </w:rPr>
        <w:t xml:space="preserve">, D. J., </w:t>
      </w:r>
      <w:proofErr w:type="spellStart"/>
      <w:r w:rsidRPr="003C05E7">
        <w:rPr>
          <w:rFonts w:ascii="Times New Roman" w:hAnsi="Times New Roman" w:cs="Times New Roman"/>
          <w:sz w:val="20"/>
          <w:szCs w:val="20"/>
        </w:rPr>
        <w:t>Gnanapragasam</w:t>
      </w:r>
      <w:proofErr w:type="spellEnd"/>
      <w:r w:rsidRPr="003C05E7">
        <w:rPr>
          <w:rFonts w:ascii="Times New Roman" w:hAnsi="Times New Roman" w:cs="Times New Roman"/>
          <w:sz w:val="20"/>
          <w:szCs w:val="20"/>
        </w:rPr>
        <w:t xml:space="preserve">, E., Kamboj, S., </w:t>
      </w:r>
      <w:proofErr w:type="spellStart"/>
      <w:r w:rsidRPr="003C05E7">
        <w:rPr>
          <w:rFonts w:ascii="Times New Roman" w:hAnsi="Times New Roman" w:cs="Times New Roman"/>
          <w:sz w:val="20"/>
          <w:szCs w:val="20"/>
        </w:rPr>
        <w:t>Arnish</w:t>
      </w:r>
      <w:proofErr w:type="spellEnd"/>
      <w:r w:rsidRPr="003C05E7">
        <w:rPr>
          <w:rFonts w:ascii="Times New Roman" w:hAnsi="Times New Roman" w:cs="Times New Roman"/>
          <w:sz w:val="20"/>
          <w:szCs w:val="20"/>
        </w:rPr>
        <w:t xml:space="preserve">, J., </w:t>
      </w:r>
      <w:proofErr w:type="spellStart"/>
      <w:r w:rsidRPr="003C05E7">
        <w:rPr>
          <w:rFonts w:ascii="Times New Roman" w:hAnsi="Times New Roman" w:cs="Times New Roman"/>
          <w:sz w:val="20"/>
          <w:szCs w:val="20"/>
        </w:rPr>
        <w:t>Wallo</w:t>
      </w:r>
      <w:proofErr w:type="spellEnd"/>
      <w:r w:rsidRPr="003C05E7">
        <w:rPr>
          <w:rFonts w:ascii="Times New Roman" w:hAnsi="Times New Roman" w:cs="Times New Roman"/>
          <w:sz w:val="20"/>
          <w:szCs w:val="20"/>
        </w:rPr>
        <w:t>, A., Williams, W. A., &amp; Peterson, H. (2001b). User’s manual for RESRAD version 6 (ANL/EAD-4). Argonne National Laboratory, U.S. Department of Energy.</w:t>
      </w:r>
    </w:p>
    <w:p w14:paraId="5B269433" w14:textId="0D1EFB12" w:rsidR="002A637C" w:rsidRPr="00974B3D" w:rsidRDefault="002A637C" w:rsidP="00974B3D">
      <w:pPr>
        <w:spacing w:after="0" w:line="240" w:lineRule="auto"/>
        <w:rPr>
          <w:rFonts w:ascii="Times New Roman" w:hAnsi="Times New Roman" w:cs="Times New Roman"/>
          <w:sz w:val="20"/>
          <w:szCs w:val="20"/>
          <w:lang w:eastAsia="zh-CN"/>
        </w:rPr>
      </w:pPr>
    </w:p>
    <w:sectPr w:rsidR="002A637C" w:rsidRPr="00974B3D" w:rsidSect="002A637C">
      <w:type w:val="continuous"/>
      <w:pgSz w:w="12242" w:h="15842" w:code="1"/>
      <w:pgMar w:top="1440" w:right="1440" w:bottom="1440" w:left="1440"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31E1D" w14:textId="77777777" w:rsidR="004973CC" w:rsidRDefault="004973CC">
      <w:pPr>
        <w:spacing w:after="0" w:line="240" w:lineRule="auto"/>
      </w:pPr>
      <w:r>
        <w:separator/>
      </w:r>
    </w:p>
  </w:endnote>
  <w:endnote w:type="continuationSeparator" w:id="0">
    <w:p w14:paraId="0E7D66DC" w14:textId="77777777" w:rsidR="004973CC" w:rsidRDefault="00497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 w:name="SymbolBS-I">
    <w:panose1 w:val="00000000000000000000"/>
    <w:charset w:val="00"/>
    <w:family w:val="roman"/>
    <w:notTrueType/>
    <w:pitch w:val="default"/>
  </w:font>
  <w:font w:name="Arial-BoldMT">
    <w:altName w:val="Times New Roman"/>
    <w:panose1 w:val="00000000000000000000"/>
    <w:charset w:val="00"/>
    <w:family w:val="roman"/>
    <w:notTrueType/>
    <w:pitch w:val="default"/>
  </w:font>
  <w:font w:name="AdvOT863180fb+fb">
    <w:altName w:val="Times New Roman"/>
    <w:panose1 w:val="00000000000000000000"/>
    <w:charset w:val="00"/>
    <w:family w:val="roman"/>
    <w:notTrueType/>
    <w:pitch w:val="default"/>
  </w:font>
  <w:font w:name="AdvOTaa6301a5.B">
    <w:altName w:val="Times New Roman"/>
    <w:panose1 w:val="00000000000000000000"/>
    <w:charset w:val="00"/>
    <w:family w:val="roman"/>
    <w:notTrueType/>
    <w:pitch w:val="default"/>
  </w:font>
  <w:font w:name="AdvOT999035f4+02">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altName w:val="Mangal"/>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Mono">
    <w:altName w:val="Courier New"/>
    <w:charset w:val="01"/>
    <w:family w:val="roman"/>
    <w:pitch w:val="variable"/>
  </w:font>
  <w:font w:name="Arial Unicode MS">
    <w:altName w:val="SimSun"/>
    <w:panose1 w:val="020B0604020202020204"/>
    <w:charset w:val="86"/>
    <w:family w:val="auto"/>
    <w:pitch w:val="default"/>
    <w:sig w:usb0="FFFFFFFF" w:usb1="E9FFFFFF" w:usb2="0000003F" w:usb3="00000000" w:csb0="603F01FF" w:csb1="FFFF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5299236"/>
      <w:docPartObj>
        <w:docPartGallery w:val="Page Numbers (Bottom of Page)"/>
        <w:docPartUnique/>
      </w:docPartObj>
    </w:sdtPr>
    <w:sdtEndPr>
      <w:rPr>
        <w:noProof/>
      </w:rPr>
    </w:sdtEndPr>
    <w:sdtContent>
      <w:p w14:paraId="087DB381" w14:textId="77777777" w:rsidR="00724412" w:rsidRPr="001E3964" w:rsidRDefault="00724412" w:rsidP="00DB1589">
        <w:pPr>
          <w:pStyle w:val="Footer"/>
          <w:jc w:val="center"/>
          <w:rPr>
            <w:b/>
            <w:bCs/>
          </w:rPr>
        </w:pPr>
        <w:r>
          <w:rPr>
            <w:noProof/>
          </w:rPr>
          <mc:AlternateContent>
            <mc:Choice Requires="wps">
              <w:drawing>
                <wp:anchor distT="0" distB="0" distL="114300" distR="114300" simplePos="0" relativeHeight="251659264" behindDoc="0" locked="0" layoutInCell="1" allowOverlap="1" wp14:anchorId="3ABCDA2D" wp14:editId="7A0AC53D">
                  <wp:simplePos x="0" y="0"/>
                  <wp:positionH relativeFrom="page">
                    <wp:posOffset>-929640</wp:posOffset>
                  </wp:positionH>
                  <wp:positionV relativeFrom="page">
                    <wp:align>bottom</wp:align>
                  </wp:positionV>
                  <wp:extent cx="10962640" cy="3816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2640" cy="381635"/>
                          </a:xfrm>
                          <a:prstGeom prst="rect">
                            <a:avLst/>
                          </a:prstGeom>
                          <a:solidFill>
                            <a:srgbClr val="461997"/>
                          </a:solidFill>
                          <a:ln w="9525" cmpd="thinThick">
                            <a:solidFill>
                              <a:srgbClr val="5E1E92"/>
                            </a:solidFill>
                            <a:miter lim="800000"/>
                            <a:headEnd/>
                            <a:tailEnd/>
                          </a:ln>
                        </wps:spPr>
                        <wps:txbx>
                          <w:txbxContent>
                            <w:p w14:paraId="72C11353" w14:textId="600A1A64" w:rsidR="00724412" w:rsidRPr="00D8188C" w:rsidRDefault="00724412" w:rsidP="00DB1589">
                              <w:pPr>
                                <w:ind w:left="720" w:right="-116" w:firstLine="720"/>
                                <w:rPr>
                                  <w:b/>
                                  <w:bCs/>
                                  <w:color w:val="000000" w:themeColor="text1"/>
                                  <w:sz w:val="26"/>
                                  <w:szCs w:val="26"/>
                                </w:rPr>
                              </w:pPr>
                              <w:r>
                                <w:rPr>
                                  <w:b/>
                                  <w:bCs/>
                                  <w:color w:val="FFFFFF" w:themeColor="background1"/>
                                  <w:sz w:val="26"/>
                                  <w:szCs w:val="26"/>
                                </w:rPr>
                                <w:t xml:space="preserve"> </w:t>
                              </w:r>
                              <w:r w:rsidRPr="000714F8">
                                <w:rPr>
                                  <w:b/>
                                  <w:bCs/>
                                  <w:color w:val="FFFFFF" w:themeColor="background1"/>
                                  <w:sz w:val="26"/>
                                  <w:szCs w:val="26"/>
                                </w:rPr>
                                <w:t xml:space="preserve">NIGERIAN JOURNAL OF PHYSICS </w:t>
                              </w:r>
                              <w:r w:rsidRPr="000714F8">
                                <w:rPr>
                                  <w:b/>
                                  <w:bCs/>
                                  <w:color w:val="FFFFFF" w:themeColor="background1"/>
                                  <w:sz w:val="26"/>
                                  <w:szCs w:val="26"/>
                                </w:rPr>
                                <w:tab/>
                              </w:r>
                              <w:r w:rsidRPr="000714F8">
                                <w:rPr>
                                  <w:b/>
                                  <w:bCs/>
                                  <w:color w:val="FFFFFF" w:themeColor="background1"/>
                                  <w:sz w:val="26"/>
                                  <w:szCs w:val="26"/>
                                </w:rPr>
                                <w:tab/>
                              </w:r>
                              <w:r>
                                <w:rPr>
                                  <w:b/>
                                  <w:bCs/>
                                  <w:color w:val="FFFFFF" w:themeColor="background1"/>
                                  <w:sz w:val="26"/>
                                  <w:szCs w:val="26"/>
                                </w:rPr>
                                <w:tab/>
                              </w:r>
                              <w:proofErr w:type="spellStart"/>
                              <w:r w:rsidRPr="000714F8">
                                <w:rPr>
                                  <w:b/>
                                  <w:bCs/>
                                  <w:color w:val="FFFFFF" w:themeColor="background1"/>
                                  <w:sz w:val="26"/>
                                  <w:szCs w:val="26"/>
                                </w:rPr>
                                <w:t>NJP</w:t>
                              </w:r>
                              <w:proofErr w:type="spellEnd"/>
                              <w:r w:rsidRPr="000714F8">
                                <w:rPr>
                                  <w:b/>
                                  <w:bCs/>
                                  <w:color w:val="FFFFFF" w:themeColor="background1"/>
                                  <w:sz w:val="26"/>
                                  <w:szCs w:val="26"/>
                                </w:rPr>
                                <w:t xml:space="preserve"> VOLUME 3</w:t>
                              </w:r>
                              <w:r>
                                <w:rPr>
                                  <w:b/>
                                  <w:bCs/>
                                  <w:color w:val="FFFFFF" w:themeColor="background1"/>
                                  <w:sz w:val="26"/>
                                  <w:szCs w:val="26"/>
                                </w:rPr>
                                <w:t>5</w:t>
                              </w:r>
                              <w:r w:rsidRPr="000714F8">
                                <w:rPr>
                                  <w:b/>
                                  <w:bCs/>
                                  <w:color w:val="FFFFFF" w:themeColor="background1"/>
                                  <w:sz w:val="26"/>
                                  <w:szCs w:val="26"/>
                                </w:rPr>
                                <w:t>(</w:t>
                              </w:r>
                              <w:r w:rsidR="00E82B09">
                                <w:rPr>
                                  <w:b/>
                                  <w:bCs/>
                                  <w:color w:val="FFFFFF" w:themeColor="background1"/>
                                  <w:sz w:val="26"/>
                                  <w:szCs w:val="26"/>
                                </w:rPr>
                                <w:t>S</w:t>
                              </w:r>
                              <w:r w:rsidRPr="000714F8">
                                <w:rPr>
                                  <w:b/>
                                  <w:bCs/>
                                  <w:color w:val="FFFFFF" w:themeColor="background1"/>
                                  <w:sz w:val="26"/>
                                  <w:szCs w:val="26"/>
                                </w:rPr>
                                <w:t>)</w:t>
                              </w:r>
                              <w:r w:rsidRPr="000714F8">
                                <w:rPr>
                                  <w:b/>
                                  <w:bCs/>
                                  <w:color w:val="FFFFFF" w:themeColor="background1"/>
                                  <w:sz w:val="26"/>
                                  <w:szCs w:val="26"/>
                                </w:rPr>
                                <w:tab/>
                              </w:r>
                              <w:r w:rsidRPr="000714F8">
                                <w:rPr>
                                  <w:b/>
                                  <w:bCs/>
                                  <w:color w:val="FFFFFF" w:themeColor="background1"/>
                                  <w:sz w:val="26"/>
                                  <w:szCs w:val="26"/>
                                </w:rPr>
                                <w:tab/>
                              </w:r>
                              <w:r w:rsidRPr="000714F8">
                                <w:rPr>
                                  <w:b/>
                                  <w:bCs/>
                                  <w:color w:val="FFFFFF" w:themeColor="background1"/>
                                  <w:sz w:val="26"/>
                                  <w:szCs w:val="26"/>
                                </w:rPr>
                                <w:tab/>
                              </w:r>
                              <w:r>
                                <w:rPr>
                                  <w:b/>
                                  <w:bCs/>
                                  <w:color w:val="FFFFFF" w:themeColor="background1"/>
                                  <w:sz w:val="26"/>
                                  <w:szCs w:val="26"/>
                                </w:rPr>
                                <w:tab/>
                              </w:r>
                              <w:r>
                                <w:rPr>
                                  <w:b/>
                                  <w:bCs/>
                                  <w:color w:val="FFFFFF" w:themeColor="background1"/>
                                  <w:sz w:val="26"/>
                                  <w:szCs w:val="26"/>
                                </w:rPr>
                                <w:tab/>
                                <w:t xml:space="preserve"> </w:t>
                              </w:r>
                              <w:r w:rsidRPr="000714F8">
                                <w:rPr>
                                  <w:b/>
                                  <w:bCs/>
                                  <w:color w:val="FFFFFF" w:themeColor="background1"/>
                                  <w:sz w:val="26"/>
                                  <w:szCs w:val="26"/>
                                </w:rPr>
                                <w:t>njp.nipng</w:t>
                              </w:r>
                              <w:r>
                                <w:rPr>
                                  <w:b/>
                                  <w:bCs/>
                                  <w:color w:val="FFFFFF" w:themeColor="background1"/>
                                  <w:sz w:val="26"/>
                                  <w:szCs w:val="26"/>
                                </w:rPr>
                                <w:t>r</w:t>
                              </w:r>
                              <w:r w:rsidRPr="000714F8">
                                <w:rPr>
                                  <w:b/>
                                  <w:bCs/>
                                  <w:color w:val="FFFFFF" w:themeColor="background1"/>
                                  <w:sz w:val="26"/>
                                  <w:szCs w:val="26"/>
                                </w:rPr>
                                <w:t>.</w:t>
                              </w:r>
                              <w:r>
                                <w:rPr>
                                  <w:b/>
                                  <w:bCs/>
                                  <w:color w:val="FFFFFF" w:themeColor="background1"/>
                                  <w:sz w:val="26"/>
                                  <w:szCs w:val="26"/>
                                </w:rPr>
                                <w:t>or</w:t>
                              </w:r>
                              <w:r w:rsidRPr="000714F8">
                                <w:rPr>
                                  <w:b/>
                                  <w:bCs/>
                                  <w:color w:val="FFFFFF" w:themeColor="background1"/>
                                  <w:sz w:val="26"/>
                                  <w:szCs w:val="26"/>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CDA2D" id="_x0000_t202" coordsize="21600,21600" o:spt="202" path="m,l,21600r21600,l21600,xe">
                  <v:stroke joinstyle="miter"/>
                  <v:path gradientshapeok="t" o:connecttype="rect"/>
                </v:shapetype>
                <v:shape id="Text Box 1" o:spid="_x0000_s1027" type="#_x0000_t202" style="position:absolute;left:0;text-align:left;margin-left:-73.2pt;margin-top:0;width:863.2pt;height:30.05pt;z-index:25165926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" fillcolor="#461997" strokecolor="#5e1e92">
                  <v:stroke linestyle="thinThick"/>
                  <v:textbox>
                    <w:txbxContent>
                      <w:p w14:paraId="72C11353" w14:textId="600A1A64" w:rsidR="00724412" w:rsidRPr="00D8188C" w:rsidRDefault="00724412" w:rsidP="00DB1589">
                        <w:pPr>
                          <w:ind w:left="720" w:right="-116" w:firstLine="720"/>
                          <w:rPr>
                            <w:b/>
                            <w:bCs/>
                            <w:color w:val="000000" w:themeColor="text1"/>
                            <w:sz w:val="26"/>
                            <w:szCs w:val="26"/>
                          </w:rPr>
                        </w:pPr>
                        <w:r>
                          <w:rPr>
                            <w:b/>
                            <w:bCs/>
                            <w:color w:val="FFFFFF" w:themeColor="background1"/>
                            <w:sz w:val="26"/>
                            <w:szCs w:val="26"/>
                          </w:rPr>
                          <w:t xml:space="preserve"> </w:t>
                        </w:r>
                        <w:r w:rsidRPr="000714F8">
                          <w:rPr>
                            <w:b/>
                            <w:bCs/>
                            <w:color w:val="FFFFFF" w:themeColor="background1"/>
                            <w:sz w:val="26"/>
                            <w:szCs w:val="26"/>
                          </w:rPr>
                          <w:t xml:space="preserve">NIGERIAN JOURNAL OF PHYSICS </w:t>
                        </w:r>
                        <w:r w:rsidRPr="000714F8">
                          <w:rPr>
                            <w:b/>
                            <w:bCs/>
                            <w:color w:val="FFFFFF" w:themeColor="background1"/>
                            <w:sz w:val="26"/>
                            <w:szCs w:val="26"/>
                          </w:rPr>
                          <w:tab/>
                        </w:r>
                        <w:r w:rsidRPr="000714F8">
                          <w:rPr>
                            <w:b/>
                            <w:bCs/>
                            <w:color w:val="FFFFFF" w:themeColor="background1"/>
                            <w:sz w:val="26"/>
                            <w:szCs w:val="26"/>
                          </w:rPr>
                          <w:tab/>
                        </w:r>
                        <w:r>
                          <w:rPr>
                            <w:b/>
                            <w:bCs/>
                            <w:color w:val="FFFFFF" w:themeColor="background1"/>
                            <w:sz w:val="26"/>
                            <w:szCs w:val="26"/>
                          </w:rPr>
                          <w:tab/>
                        </w:r>
                        <w:proofErr w:type="spellStart"/>
                        <w:r w:rsidRPr="000714F8">
                          <w:rPr>
                            <w:b/>
                            <w:bCs/>
                            <w:color w:val="FFFFFF" w:themeColor="background1"/>
                            <w:sz w:val="26"/>
                            <w:szCs w:val="26"/>
                          </w:rPr>
                          <w:t>NJP</w:t>
                        </w:r>
                        <w:proofErr w:type="spellEnd"/>
                        <w:r w:rsidRPr="000714F8">
                          <w:rPr>
                            <w:b/>
                            <w:bCs/>
                            <w:color w:val="FFFFFF" w:themeColor="background1"/>
                            <w:sz w:val="26"/>
                            <w:szCs w:val="26"/>
                          </w:rPr>
                          <w:t xml:space="preserve"> VOLUME 3</w:t>
                        </w:r>
                        <w:r>
                          <w:rPr>
                            <w:b/>
                            <w:bCs/>
                            <w:color w:val="FFFFFF" w:themeColor="background1"/>
                            <w:sz w:val="26"/>
                            <w:szCs w:val="26"/>
                          </w:rPr>
                          <w:t>5</w:t>
                        </w:r>
                        <w:r w:rsidRPr="000714F8">
                          <w:rPr>
                            <w:b/>
                            <w:bCs/>
                            <w:color w:val="FFFFFF" w:themeColor="background1"/>
                            <w:sz w:val="26"/>
                            <w:szCs w:val="26"/>
                          </w:rPr>
                          <w:t>(</w:t>
                        </w:r>
                        <w:r w:rsidR="00E82B09">
                          <w:rPr>
                            <w:b/>
                            <w:bCs/>
                            <w:color w:val="FFFFFF" w:themeColor="background1"/>
                            <w:sz w:val="26"/>
                            <w:szCs w:val="26"/>
                          </w:rPr>
                          <w:t>S</w:t>
                        </w:r>
                        <w:r w:rsidRPr="000714F8">
                          <w:rPr>
                            <w:b/>
                            <w:bCs/>
                            <w:color w:val="FFFFFF" w:themeColor="background1"/>
                            <w:sz w:val="26"/>
                            <w:szCs w:val="26"/>
                          </w:rPr>
                          <w:t>)</w:t>
                        </w:r>
                        <w:r w:rsidRPr="000714F8">
                          <w:rPr>
                            <w:b/>
                            <w:bCs/>
                            <w:color w:val="FFFFFF" w:themeColor="background1"/>
                            <w:sz w:val="26"/>
                            <w:szCs w:val="26"/>
                          </w:rPr>
                          <w:tab/>
                        </w:r>
                        <w:r w:rsidRPr="000714F8">
                          <w:rPr>
                            <w:b/>
                            <w:bCs/>
                            <w:color w:val="FFFFFF" w:themeColor="background1"/>
                            <w:sz w:val="26"/>
                            <w:szCs w:val="26"/>
                          </w:rPr>
                          <w:tab/>
                        </w:r>
                        <w:r w:rsidRPr="000714F8">
                          <w:rPr>
                            <w:b/>
                            <w:bCs/>
                            <w:color w:val="FFFFFF" w:themeColor="background1"/>
                            <w:sz w:val="26"/>
                            <w:szCs w:val="26"/>
                          </w:rPr>
                          <w:tab/>
                        </w:r>
                        <w:r>
                          <w:rPr>
                            <w:b/>
                            <w:bCs/>
                            <w:color w:val="FFFFFF" w:themeColor="background1"/>
                            <w:sz w:val="26"/>
                            <w:szCs w:val="26"/>
                          </w:rPr>
                          <w:tab/>
                        </w:r>
                        <w:r>
                          <w:rPr>
                            <w:b/>
                            <w:bCs/>
                            <w:color w:val="FFFFFF" w:themeColor="background1"/>
                            <w:sz w:val="26"/>
                            <w:szCs w:val="26"/>
                          </w:rPr>
                          <w:tab/>
                          <w:t xml:space="preserve"> </w:t>
                        </w:r>
                        <w:r w:rsidRPr="000714F8">
                          <w:rPr>
                            <w:b/>
                            <w:bCs/>
                            <w:color w:val="FFFFFF" w:themeColor="background1"/>
                            <w:sz w:val="26"/>
                            <w:szCs w:val="26"/>
                          </w:rPr>
                          <w:t>njp.nipng</w:t>
                        </w:r>
                        <w:r>
                          <w:rPr>
                            <w:b/>
                            <w:bCs/>
                            <w:color w:val="FFFFFF" w:themeColor="background1"/>
                            <w:sz w:val="26"/>
                            <w:szCs w:val="26"/>
                          </w:rPr>
                          <w:t>r</w:t>
                        </w:r>
                        <w:r w:rsidRPr="000714F8">
                          <w:rPr>
                            <w:b/>
                            <w:bCs/>
                            <w:color w:val="FFFFFF" w:themeColor="background1"/>
                            <w:sz w:val="26"/>
                            <w:szCs w:val="26"/>
                          </w:rPr>
                          <w:t>.</w:t>
                        </w:r>
                        <w:r>
                          <w:rPr>
                            <w:b/>
                            <w:bCs/>
                            <w:color w:val="FFFFFF" w:themeColor="background1"/>
                            <w:sz w:val="26"/>
                            <w:szCs w:val="26"/>
                          </w:rPr>
                          <w:t>or</w:t>
                        </w:r>
                        <w:r w:rsidRPr="000714F8">
                          <w:rPr>
                            <w:b/>
                            <w:bCs/>
                            <w:color w:val="FFFFFF" w:themeColor="background1"/>
                            <w:sz w:val="26"/>
                            <w:szCs w:val="26"/>
                          </w:rPr>
                          <w:t>g</w:t>
                        </w:r>
                      </w:p>
                    </w:txbxContent>
                  </v:textbox>
                  <w10:wrap anchorx="page" anchory="page"/>
                </v:shape>
              </w:pict>
            </mc:Fallback>
          </mc:AlternateContent>
        </w:r>
        <w:r w:rsidRPr="0076523F">
          <w:rPr>
            <w:b/>
            <w:bCs/>
          </w:rPr>
          <w:fldChar w:fldCharType="begin"/>
        </w:r>
        <w:r w:rsidRPr="0076523F">
          <w:rPr>
            <w:b/>
            <w:bCs/>
          </w:rPr>
          <w:instrText xml:space="preserve"> PAGE  \* Arabic  \* MERGEFORMAT </w:instrText>
        </w:r>
        <w:r w:rsidRPr="0076523F">
          <w:rPr>
            <w:b/>
            <w:bCs/>
          </w:rPr>
          <w:fldChar w:fldCharType="separate"/>
        </w:r>
        <w:r>
          <w:rPr>
            <w:b/>
            <w:bCs/>
            <w:noProof/>
          </w:rPr>
          <w:t>1</w:t>
        </w:r>
        <w:r w:rsidRPr="0076523F">
          <w:rPr>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8391B" w14:textId="77777777" w:rsidR="004973CC" w:rsidRDefault="004973CC">
      <w:pPr>
        <w:spacing w:after="0" w:line="240" w:lineRule="auto"/>
      </w:pPr>
      <w:r>
        <w:separator/>
      </w:r>
    </w:p>
  </w:footnote>
  <w:footnote w:type="continuationSeparator" w:id="0">
    <w:p w14:paraId="3B1BD8BE" w14:textId="77777777" w:rsidR="004973CC" w:rsidRDefault="00497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89FF2" w14:textId="187D0D9C" w:rsidR="00724412" w:rsidRPr="002A637C" w:rsidRDefault="00724412" w:rsidP="00BB3E29">
    <w:pPr>
      <w:pStyle w:val="Header"/>
      <w:rPr>
        <w:rFonts w:ascii="Times New Roman" w:eastAsia="Calibri" w:hAnsi="Times New Roman" w:cs="Times New Roman"/>
        <w:b/>
        <w:bCs/>
        <w:sz w:val="20"/>
        <w:szCs w:val="20"/>
      </w:rPr>
    </w:pPr>
    <w:r w:rsidRPr="009C3D9E">
      <w:rPr>
        <w:rFonts w:ascii="Times New Roman" w:hAnsi="Times New Roman" w:cs="Times New Roman"/>
        <w:b/>
        <w:bCs/>
        <w:sz w:val="20"/>
        <w:szCs w:val="20"/>
      </w:rPr>
      <w:t xml:space="preserve">Long-Term Radiological Dose and Cancer </w:t>
    </w:r>
    <w:r w:rsidRPr="004111AF">
      <w:rPr>
        <w:rFonts w:ascii="Times New Roman" w:hAnsi="Times New Roman" w:cs="Times New Roman"/>
        <w:b/>
        <w:bCs/>
        <w:color w:val="000000" w:themeColor="text1"/>
        <w:sz w:val="20"/>
        <w:szCs w:val="20"/>
        <w:lang w:val="en-GB"/>
      </w:rPr>
      <w:t>…</w:t>
    </w:r>
    <w:r>
      <w:rPr>
        <w:rFonts w:ascii="Times New Roman" w:hAnsi="Times New Roman" w:cs="Times New Roman"/>
        <w:b/>
        <w:bCs/>
        <w:color w:val="000000" w:themeColor="text1"/>
        <w:sz w:val="20"/>
        <w:szCs w:val="20"/>
        <w:lang w:val="en-GB"/>
      </w:rPr>
      <w:tab/>
      <w:t xml:space="preserve"> </w:t>
    </w:r>
    <w:r w:rsidRPr="00771CEC">
      <w:rPr>
        <w:rFonts w:ascii="Times New Roman" w:hAnsi="Times New Roman" w:cs="Times New Roman" w:hint="eastAsia"/>
        <w:b/>
        <w:bCs/>
        <w:sz w:val="20"/>
        <w:szCs w:val="20"/>
        <w:lang w:val="zh-CN" w:eastAsia="zh-CN"/>
      </w:rPr>
      <w:t>Ezekwudo</w:t>
    </w:r>
    <w:r w:rsidRPr="00771CEC">
      <w:rPr>
        <w:rFonts w:ascii="Times New Roman" w:hAnsi="Times New Roman" w:cs="Times New Roman"/>
        <w:b/>
        <w:bCs/>
        <w:sz w:val="20"/>
        <w:szCs w:val="20"/>
        <w:lang w:eastAsia="zh-CN"/>
      </w:rPr>
      <w:t xml:space="preserve"> </w:t>
    </w:r>
    <w:r>
      <w:rPr>
        <w:rFonts w:ascii="Times New Roman" w:hAnsi="Times New Roman" w:cs="Times New Roman"/>
        <w:b/>
        <w:bCs/>
        <w:sz w:val="20"/>
        <w:szCs w:val="20"/>
        <w:lang w:eastAsia="zh-CN"/>
      </w:rPr>
      <w:t xml:space="preserve">and </w:t>
    </w:r>
    <w:proofErr w:type="spellStart"/>
    <w:r>
      <w:rPr>
        <w:rFonts w:ascii="Times New Roman" w:hAnsi="Times New Roman" w:cs="Times New Roman"/>
        <w:b/>
        <w:bCs/>
        <w:sz w:val="20"/>
        <w:szCs w:val="20"/>
        <w:lang w:eastAsia="zh-CN"/>
      </w:rPr>
      <w:t>Abenga</w:t>
    </w:r>
    <w:proofErr w:type="spellEnd"/>
    <w:r>
      <w:rPr>
        <w:rFonts w:ascii="Times New Roman" w:eastAsia="Calibri" w:hAnsi="Times New Roman" w:cs="Times New Roman"/>
        <w:b/>
        <w:bCs/>
        <w:sz w:val="20"/>
        <w:szCs w:val="20"/>
        <w:lang w:val="en-GB"/>
      </w:rPr>
      <w:t>,</w:t>
    </w:r>
    <w:r w:rsidRPr="004111AF">
      <w:rPr>
        <w:rFonts w:ascii="Times New Roman" w:hAnsi="Times New Roman" w:cs="Times New Roman"/>
        <w:i/>
        <w:iCs/>
        <w:color w:val="000000" w:themeColor="text1"/>
        <w:sz w:val="20"/>
        <w:szCs w:val="20"/>
        <w:lang w:val="en-GB"/>
      </w:rPr>
      <w:tab/>
    </w:r>
    <w:proofErr w:type="spellStart"/>
    <w:r w:rsidRPr="004111AF">
      <w:rPr>
        <w:rFonts w:ascii="Times New Roman" w:hAnsi="Times New Roman" w:cs="Times New Roman"/>
        <w:b/>
        <w:bCs/>
        <w:color w:val="000000" w:themeColor="text1"/>
        <w:sz w:val="20"/>
        <w:szCs w:val="20"/>
        <w:lang w:val="en-GB"/>
      </w:rPr>
      <w:t>NJP</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63997"/>
    <w:multiLevelType w:val="hybridMultilevel"/>
    <w:tmpl w:val="3420178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736B8"/>
    <w:multiLevelType w:val="multilevel"/>
    <w:tmpl w:val="EE60A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CC5AE0"/>
    <w:multiLevelType w:val="multilevel"/>
    <w:tmpl w:val="03CC5AE0"/>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 w15:restartNumberingAfterBreak="0">
    <w:nsid w:val="0B6D00EA"/>
    <w:multiLevelType w:val="hybridMultilevel"/>
    <w:tmpl w:val="7110EE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6C70CB"/>
    <w:multiLevelType w:val="multilevel"/>
    <w:tmpl w:val="F3883828"/>
    <w:lvl w:ilvl="0">
      <w:start w:val="1"/>
      <w:numFmt w:val="lowerLetter"/>
      <w:lvlText w:val="(%1)"/>
      <w:lvlJc w:val="left"/>
      <w:pPr>
        <w:tabs>
          <w:tab w:val="num" w:pos="0"/>
        </w:tabs>
        <w:ind w:left="5728" w:hanging="360"/>
      </w:pPr>
    </w:lvl>
    <w:lvl w:ilvl="1">
      <w:start w:val="1"/>
      <w:numFmt w:val="lowerLetter"/>
      <w:lvlText w:val="%2."/>
      <w:lvlJc w:val="left"/>
      <w:pPr>
        <w:tabs>
          <w:tab w:val="num" w:pos="0"/>
        </w:tabs>
        <w:ind w:left="6448" w:hanging="360"/>
      </w:pPr>
    </w:lvl>
    <w:lvl w:ilvl="2">
      <w:start w:val="1"/>
      <w:numFmt w:val="lowerRoman"/>
      <w:lvlText w:val="%3."/>
      <w:lvlJc w:val="right"/>
      <w:pPr>
        <w:tabs>
          <w:tab w:val="num" w:pos="0"/>
        </w:tabs>
        <w:ind w:left="7168" w:hanging="180"/>
      </w:pPr>
    </w:lvl>
    <w:lvl w:ilvl="3">
      <w:start w:val="1"/>
      <w:numFmt w:val="decimal"/>
      <w:lvlText w:val="%4."/>
      <w:lvlJc w:val="left"/>
      <w:pPr>
        <w:tabs>
          <w:tab w:val="num" w:pos="0"/>
        </w:tabs>
        <w:ind w:left="7888" w:hanging="360"/>
      </w:pPr>
    </w:lvl>
    <w:lvl w:ilvl="4">
      <w:start w:val="1"/>
      <w:numFmt w:val="lowerLetter"/>
      <w:lvlText w:val="%5."/>
      <w:lvlJc w:val="left"/>
      <w:pPr>
        <w:tabs>
          <w:tab w:val="num" w:pos="0"/>
        </w:tabs>
        <w:ind w:left="8608" w:hanging="360"/>
      </w:pPr>
    </w:lvl>
    <w:lvl w:ilvl="5">
      <w:start w:val="1"/>
      <w:numFmt w:val="lowerRoman"/>
      <w:lvlText w:val="%6."/>
      <w:lvlJc w:val="right"/>
      <w:pPr>
        <w:tabs>
          <w:tab w:val="num" w:pos="0"/>
        </w:tabs>
        <w:ind w:left="9328" w:hanging="180"/>
      </w:pPr>
    </w:lvl>
    <w:lvl w:ilvl="6">
      <w:start w:val="1"/>
      <w:numFmt w:val="decimal"/>
      <w:lvlText w:val="%7."/>
      <w:lvlJc w:val="left"/>
      <w:pPr>
        <w:tabs>
          <w:tab w:val="num" w:pos="0"/>
        </w:tabs>
        <w:ind w:left="10048" w:hanging="360"/>
      </w:pPr>
    </w:lvl>
    <w:lvl w:ilvl="7">
      <w:start w:val="1"/>
      <w:numFmt w:val="lowerLetter"/>
      <w:lvlText w:val="%8."/>
      <w:lvlJc w:val="left"/>
      <w:pPr>
        <w:tabs>
          <w:tab w:val="num" w:pos="0"/>
        </w:tabs>
        <w:ind w:left="10768" w:hanging="360"/>
      </w:pPr>
    </w:lvl>
    <w:lvl w:ilvl="8">
      <w:start w:val="1"/>
      <w:numFmt w:val="lowerRoman"/>
      <w:lvlText w:val="%9."/>
      <w:lvlJc w:val="right"/>
      <w:pPr>
        <w:tabs>
          <w:tab w:val="num" w:pos="0"/>
        </w:tabs>
        <w:ind w:left="11488" w:hanging="180"/>
      </w:pPr>
    </w:lvl>
  </w:abstractNum>
  <w:abstractNum w:abstractNumId="5" w15:restartNumberingAfterBreak="0">
    <w:nsid w:val="1988306C"/>
    <w:multiLevelType w:val="hybridMultilevel"/>
    <w:tmpl w:val="A14A0FA8"/>
    <w:lvl w:ilvl="0" w:tplc="52A615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D2735"/>
    <w:multiLevelType w:val="multilevel"/>
    <w:tmpl w:val="B9AC83FC"/>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B4C7344"/>
    <w:multiLevelType w:val="multilevel"/>
    <w:tmpl w:val="9892AE74"/>
    <w:lvl w:ilvl="0">
      <w:start w:val="1"/>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10A38D4"/>
    <w:multiLevelType w:val="multilevel"/>
    <w:tmpl w:val="DC9AC428"/>
    <w:lvl w:ilvl="0">
      <w:start w:val="1"/>
      <w:numFmt w:val="low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3522AAD"/>
    <w:multiLevelType w:val="multilevel"/>
    <w:tmpl w:val="B5F4D362"/>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66519F6"/>
    <w:multiLevelType w:val="hybridMultilevel"/>
    <w:tmpl w:val="5C0233C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8014B4"/>
    <w:multiLevelType w:val="multilevel"/>
    <w:tmpl w:val="E7AC4E3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89929D0"/>
    <w:multiLevelType w:val="multilevel"/>
    <w:tmpl w:val="9F58909C"/>
    <w:lvl w:ilvl="0">
      <w:start w:val="2"/>
      <w:numFmt w:val="decimal"/>
      <w:lvlText w:val="%1"/>
      <w:lvlJc w:val="left"/>
      <w:pPr>
        <w:ind w:left="360" w:hanging="360"/>
      </w:pPr>
      <w:rPr>
        <w:rFonts w:hint="default"/>
        <w:b/>
      </w:rPr>
    </w:lvl>
    <w:lvl w:ilvl="1">
      <w:start w:val="2"/>
      <w:numFmt w:val="decimal"/>
      <w:lvlText w:val="%1.%2"/>
      <w:lvlJc w:val="left"/>
      <w:pPr>
        <w:ind w:left="1170" w:hanging="360"/>
      </w:pPr>
      <w:rPr>
        <w:rFonts w:hint="default"/>
        <w:b/>
      </w:rPr>
    </w:lvl>
    <w:lvl w:ilvl="2">
      <w:start w:val="1"/>
      <w:numFmt w:val="decimal"/>
      <w:lvlText w:val="%1.%2.%3"/>
      <w:lvlJc w:val="left"/>
      <w:pPr>
        <w:ind w:left="2340" w:hanging="720"/>
      </w:pPr>
      <w:rPr>
        <w:rFonts w:hint="default"/>
        <w:b/>
      </w:rPr>
    </w:lvl>
    <w:lvl w:ilvl="3">
      <w:start w:val="1"/>
      <w:numFmt w:val="decimal"/>
      <w:lvlText w:val="%1.%2.%3.%4"/>
      <w:lvlJc w:val="left"/>
      <w:pPr>
        <w:ind w:left="315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130" w:hanging="1080"/>
      </w:pPr>
      <w:rPr>
        <w:rFonts w:hint="default"/>
        <w:b/>
      </w:rPr>
    </w:lvl>
    <w:lvl w:ilvl="6">
      <w:start w:val="1"/>
      <w:numFmt w:val="decimal"/>
      <w:lvlText w:val="%1.%2.%3.%4.%5.%6.%7"/>
      <w:lvlJc w:val="left"/>
      <w:pPr>
        <w:ind w:left="6300" w:hanging="1440"/>
      </w:pPr>
      <w:rPr>
        <w:rFonts w:hint="default"/>
        <w:b/>
      </w:rPr>
    </w:lvl>
    <w:lvl w:ilvl="7">
      <w:start w:val="1"/>
      <w:numFmt w:val="decimal"/>
      <w:lvlText w:val="%1.%2.%3.%4.%5.%6.%7.%8"/>
      <w:lvlJc w:val="left"/>
      <w:pPr>
        <w:ind w:left="7110" w:hanging="1440"/>
      </w:pPr>
      <w:rPr>
        <w:rFonts w:hint="default"/>
        <w:b/>
      </w:rPr>
    </w:lvl>
    <w:lvl w:ilvl="8">
      <w:start w:val="1"/>
      <w:numFmt w:val="decimal"/>
      <w:lvlText w:val="%1.%2.%3.%4.%5.%6.%7.%8.%9"/>
      <w:lvlJc w:val="left"/>
      <w:pPr>
        <w:ind w:left="8280" w:hanging="1800"/>
      </w:pPr>
      <w:rPr>
        <w:rFonts w:hint="default"/>
        <w:b/>
      </w:rPr>
    </w:lvl>
  </w:abstractNum>
  <w:abstractNum w:abstractNumId="13" w15:restartNumberingAfterBreak="0">
    <w:nsid w:val="29CA7492"/>
    <w:multiLevelType w:val="multilevel"/>
    <w:tmpl w:val="B9CE99D2"/>
    <w:lvl w:ilvl="0">
      <w:start w:val="2"/>
      <w:numFmt w:val="decimal"/>
      <w:lvlText w:val="%1"/>
      <w:lvlJc w:val="left"/>
      <w:pPr>
        <w:ind w:left="360" w:hanging="360"/>
      </w:pPr>
      <w:rPr>
        <w:rFonts w:hint="default"/>
        <w:b/>
      </w:rPr>
    </w:lvl>
    <w:lvl w:ilvl="1">
      <w:start w:val="2"/>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4" w15:restartNumberingAfterBreak="0">
    <w:nsid w:val="2AD43914"/>
    <w:multiLevelType w:val="multilevel"/>
    <w:tmpl w:val="D05272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B744176"/>
    <w:multiLevelType w:val="multilevel"/>
    <w:tmpl w:val="3DAEC8A6"/>
    <w:lvl w:ilvl="0">
      <w:start w:val="2"/>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5760" w:hanging="2880"/>
      </w:pPr>
      <w:rPr>
        <w:rFonts w:hint="default"/>
      </w:rPr>
    </w:lvl>
  </w:abstractNum>
  <w:abstractNum w:abstractNumId="16" w15:restartNumberingAfterBreak="0">
    <w:nsid w:val="336A319B"/>
    <w:multiLevelType w:val="multilevel"/>
    <w:tmpl w:val="744A968C"/>
    <w:lvl w:ilvl="0">
      <w:start w:val="4"/>
      <w:numFmt w:val="decimal"/>
      <w:lvlText w:val="%1:"/>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36004A43"/>
    <w:multiLevelType w:val="hybridMultilevel"/>
    <w:tmpl w:val="6032BE2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731FF0"/>
    <w:multiLevelType w:val="multilevel"/>
    <w:tmpl w:val="F144774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5836806"/>
    <w:multiLevelType w:val="multilevel"/>
    <w:tmpl w:val="EEF85580"/>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896A02"/>
    <w:multiLevelType w:val="multilevel"/>
    <w:tmpl w:val="273A3CDA"/>
    <w:lvl w:ilvl="0">
      <w:start w:val="1"/>
      <w:numFmt w:val="decimal"/>
      <w:lvlText w:val="%1."/>
      <w:lvlJc w:val="left"/>
      <w:pPr>
        <w:ind w:left="81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40C1931"/>
    <w:multiLevelType w:val="hybridMultilevel"/>
    <w:tmpl w:val="5A56FCB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B82801"/>
    <w:multiLevelType w:val="hybridMultilevel"/>
    <w:tmpl w:val="ED3EF6A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D17DAD"/>
    <w:multiLevelType w:val="multilevel"/>
    <w:tmpl w:val="3F6EB174"/>
    <w:lvl w:ilvl="0">
      <w:start w:val="2"/>
      <w:numFmt w:val="decimal"/>
      <w:lvlText w:val="%1"/>
      <w:lvlJc w:val="left"/>
      <w:pPr>
        <w:ind w:left="360" w:hanging="360"/>
      </w:pPr>
      <w:rPr>
        <w:rFonts w:hint="default"/>
        <w:b/>
      </w:rPr>
    </w:lvl>
    <w:lvl w:ilvl="1">
      <w:start w:val="2"/>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24" w15:restartNumberingAfterBreak="0">
    <w:nsid w:val="5AF81CFA"/>
    <w:multiLevelType w:val="multilevel"/>
    <w:tmpl w:val="D034D024"/>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5" w15:restartNumberingAfterBreak="0">
    <w:nsid w:val="5D6F3C65"/>
    <w:multiLevelType w:val="multilevel"/>
    <w:tmpl w:val="7B7CCF3A"/>
    <w:lvl w:ilvl="0">
      <w:start w:val="1"/>
      <w:numFmt w:val="low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DF67F3D"/>
    <w:multiLevelType w:val="hybridMultilevel"/>
    <w:tmpl w:val="BFFCD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E23BBB"/>
    <w:multiLevelType w:val="hybridMultilevel"/>
    <w:tmpl w:val="25AA72BE"/>
    <w:lvl w:ilvl="0" w:tplc="307439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80488F"/>
    <w:multiLevelType w:val="multilevel"/>
    <w:tmpl w:val="D1A66540"/>
    <w:lvl w:ilvl="0">
      <w:start w:val="2"/>
      <w:numFmt w:val="decimal"/>
      <w:lvlText w:val="%1."/>
      <w:lvlJc w:val="left"/>
      <w:pPr>
        <w:ind w:left="360" w:hanging="360"/>
      </w:pPr>
      <w:rPr>
        <w:rFonts w:hint="default"/>
        <w:b/>
      </w:rPr>
    </w:lvl>
    <w:lvl w:ilvl="1">
      <w:start w:val="2"/>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29" w15:restartNumberingAfterBreak="0">
    <w:nsid w:val="62372256"/>
    <w:multiLevelType w:val="hybridMultilevel"/>
    <w:tmpl w:val="7D2C9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2C363F"/>
    <w:multiLevelType w:val="multilevel"/>
    <w:tmpl w:val="7A0A2D80"/>
    <w:lvl w:ilvl="0">
      <w:start w:val="1"/>
      <w:numFmt w:val="lowerLetter"/>
      <w:lvlText w:val="(%1)"/>
      <w:lvlJc w:val="left"/>
      <w:pPr>
        <w:tabs>
          <w:tab w:val="num" w:pos="0"/>
        </w:tabs>
        <w:ind w:left="7177" w:hanging="2355"/>
      </w:pPr>
    </w:lvl>
    <w:lvl w:ilvl="1">
      <w:start w:val="1"/>
      <w:numFmt w:val="lowerLetter"/>
      <w:lvlText w:val="%2."/>
      <w:lvlJc w:val="left"/>
      <w:pPr>
        <w:tabs>
          <w:tab w:val="num" w:pos="0"/>
        </w:tabs>
        <w:ind w:left="5902" w:hanging="360"/>
      </w:pPr>
    </w:lvl>
    <w:lvl w:ilvl="2">
      <w:start w:val="1"/>
      <w:numFmt w:val="lowerRoman"/>
      <w:lvlText w:val="%3."/>
      <w:lvlJc w:val="right"/>
      <w:pPr>
        <w:tabs>
          <w:tab w:val="num" w:pos="0"/>
        </w:tabs>
        <w:ind w:left="6622" w:hanging="180"/>
      </w:pPr>
    </w:lvl>
    <w:lvl w:ilvl="3">
      <w:start w:val="1"/>
      <w:numFmt w:val="decimal"/>
      <w:lvlText w:val="%4."/>
      <w:lvlJc w:val="left"/>
      <w:pPr>
        <w:tabs>
          <w:tab w:val="num" w:pos="0"/>
        </w:tabs>
        <w:ind w:left="7342" w:hanging="360"/>
      </w:pPr>
    </w:lvl>
    <w:lvl w:ilvl="4">
      <w:start w:val="1"/>
      <w:numFmt w:val="lowerLetter"/>
      <w:lvlText w:val="%5."/>
      <w:lvlJc w:val="left"/>
      <w:pPr>
        <w:tabs>
          <w:tab w:val="num" w:pos="0"/>
        </w:tabs>
        <w:ind w:left="8062" w:hanging="360"/>
      </w:pPr>
    </w:lvl>
    <w:lvl w:ilvl="5">
      <w:start w:val="1"/>
      <w:numFmt w:val="lowerRoman"/>
      <w:lvlText w:val="%6."/>
      <w:lvlJc w:val="right"/>
      <w:pPr>
        <w:tabs>
          <w:tab w:val="num" w:pos="0"/>
        </w:tabs>
        <w:ind w:left="8782" w:hanging="180"/>
      </w:pPr>
    </w:lvl>
    <w:lvl w:ilvl="6">
      <w:start w:val="1"/>
      <w:numFmt w:val="decimal"/>
      <w:lvlText w:val="%7."/>
      <w:lvlJc w:val="left"/>
      <w:pPr>
        <w:tabs>
          <w:tab w:val="num" w:pos="0"/>
        </w:tabs>
        <w:ind w:left="9502" w:hanging="360"/>
      </w:pPr>
    </w:lvl>
    <w:lvl w:ilvl="7">
      <w:start w:val="1"/>
      <w:numFmt w:val="lowerLetter"/>
      <w:lvlText w:val="%8."/>
      <w:lvlJc w:val="left"/>
      <w:pPr>
        <w:tabs>
          <w:tab w:val="num" w:pos="0"/>
        </w:tabs>
        <w:ind w:left="10222" w:hanging="360"/>
      </w:pPr>
    </w:lvl>
    <w:lvl w:ilvl="8">
      <w:start w:val="1"/>
      <w:numFmt w:val="lowerRoman"/>
      <w:lvlText w:val="%9."/>
      <w:lvlJc w:val="right"/>
      <w:pPr>
        <w:tabs>
          <w:tab w:val="num" w:pos="0"/>
        </w:tabs>
        <w:ind w:left="10942" w:hanging="180"/>
      </w:pPr>
    </w:lvl>
  </w:abstractNum>
  <w:abstractNum w:abstractNumId="31" w15:restartNumberingAfterBreak="0">
    <w:nsid w:val="68863172"/>
    <w:multiLevelType w:val="multilevel"/>
    <w:tmpl w:val="5E26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9A5F96"/>
    <w:multiLevelType w:val="multilevel"/>
    <w:tmpl w:val="6A9A5F9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E07525A"/>
    <w:multiLevelType w:val="hybridMultilevel"/>
    <w:tmpl w:val="F93AE1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891C00"/>
    <w:multiLevelType w:val="multilevel"/>
    <w:tmpl w:val="E1A625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2882A47"/>
    <w:multiLevelType w:val="multilevel"/>
    <w:tmpl w:val="40FA1D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35F64CE"/>
    <w:multiLevelType w:val="multilevel"/>
    <w:tmpl w:val="735F64CE"/>
    <w:lvl w:ilvl="0">
      <w:start w:val="1"/>
      <w:numFmt w:val="lowerRoman"/>
      <w:lvlText w:val="%1."/>
      <w:lvlJc w:val="left"/>
      <w:pPr>
        <w:tabs>
          <w:tab w:val="left" w:pos="720"/>
        </w:tabs>
        <w:ind w:left="720" w:hanging="360"/>
      </w:pPr>
      <w:rPr>
        <w:rFonts w:ascii="Times New Roman" w:hAnsi="Times New Roman" w:cs="Times New Roman"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hint="default"/>
        <w:sz w:val="20"/>
        <w:szCs w:val="20"/>
      </w:rPr>
    </w:lvl>
    <w:lvl w:ilvl="3">
      <w:start w:val="1"/>
      <w:numFmt w:val="bullet"/>
      <w:lvlText w:val=""/>
      <w:lvlJc w:val="left"/>
      <w:pPr>
        <w:tabs>
          <w:tab w:val="left" w:pos="2880"/>
        </w:tabs>
        <w:ind w:left="2880" w:hanging="360"/>
      </w:pPr>
      <w:rPr>
        <w:rFonts w:ascii="Wingdings" w:hAnsi="Wingdings" w:hint="default"/>
        <w:sz w:val="20"/>
        <w:szCs w:val="20"/>
      </w:rPr>
    </w:lvl>
    <w:lvl w:ilvl="4">
      <w:start w:val="1"/>
      <w:numFmt w:val="bullet"/>
      <w:lvlText w:val=""/>
      <w:lvlJc w:val="left"/>
      <w:pPr>
        <w:tabs>
          <w:tab w:val="left" w:pos="3600"/>
        </w:tabs>
        <w:ind w:left="3600" w:hanging="360"/>
      </w:pPr>
      <w:rPr>
        <w:rFonts w:ascii="Wingdings" w:hAnsi="Wingdings" w:hint="default"/>
        <w:sz w:val="20"/>
        <w:szCs w:val="20"/>
      </w:rPr>
    </w:lvl>
    <w:lvl w:ilvl="5">
      <w:start w:val="1"/>
      <w:numFmt w:val="bullet"/>
      <w:lvlText w:val=""/>
      <w:lvlJc w:val="left"/>
      <w:pPr>
        <w:tabs>
          <w:tab w:val="left" w:pos="4320"/>
        </w:tabs>
        <w:ind w:left="4320" w:hanging="360"/>
      </w:pPr>
      <w:rPr>
        <w:rFonts w:ascii="Wingdings" w:hAnsi="Wingdings" w:hint="default"/>
        <w:sz w:val="20"/>
        <w:szCs w:val="20"/>
      </w:rPr>
    </w:lvl>
    <w:lvl w:ilvl="6">
      <w:start w:val="1"/>
      <w:numFmt w:val="bullet"/>
      <w:lvlText w:val=""/>
      <w:lvlJc w:val="left"/>
      <w:pPr>
        <w:tabs>
          <w:tab w:val="left" w:pos="5040"/>
        </w:tabs>
        <w:ind w:left="5040" w:hanging="360"/>
      </w:pPr>
      <w:rPr>
        <w:rFonts w:ascii="Wingdings" w:hAnsi="Wingdings" w:hint="default"/>
        <w:sz w:val="20"/>
        <w:szCs w:val="20"/>
      </w:rPr>
    </w:lvl>
    <w:lvl w:ilvl="7">
      <w:start w:val="1"/>
      <w:numFmt w:val="bullet"/>
      <w:lvlText w:val=""/>
      <w:lvlJc w:val="left"/>
      <w:pPr>
        <w:tabs>
          <w:tab w:val="left" w:pos="5760"/>
        </w:tabs>
        <w:ind w:left="5760" w:hanging="360"/>
      </w:pPr>
      <w:rPr>
        <w:rFonts w:ascii="Wingdings" w:hAnsi="Wingdings" w:hint="default"/>
        <w:sz w:val="20"/>
        <w:szCs w:val="20"/>
      </w:rPr>
    </w:lvl>
    <w:lvl w:ilvl="8">
      <w:start w:val="1"/>
      <w:numFmt w:val="bullet"/>
      <w:lvlText w:val=""/>
      <w:lvlJc w:val="left"/>
      <w:pPr>
        <w:tabs>
          <w:tab w:val="left" w:pos="6480"/>
        </w:tabs>
        <w:ind w:left="6480" w:hanging="360"/>
      </w:pPr>
      <w:rPr>
        <w:rFonts w:ascii="Wingdings" w:hAnsi="Wingdings" w:hint="default"/>
        <w:sz w:val="20"/>
        <w:szCs w:val="20"/>
      </w:rPr>
    </w:lvl>
  </w:abstractNum>
  <w:abstractNum w:abstractNumId="37" w15:restartNumberingAfterBreak="0">
    <w:nsid w:val="74292CBB"/>
    <w:multiLevelType w:val="hybridMultilevel"/>
    <w:tmpl w:val="B666ED5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912C09"/>
    <w:multiLevelType w:val="multilevel"/>
    <w:tmpl w:val="020A7986"/>
    <w:lvl w:ilvl="0">
      <w:start w:val="1"/>
      <w:numFmt w:val="lowerLetter"/>
      <w:lvlText w:val="(%1)"/>
      <w:lvlJc w:val="left"/>
      <w:pPr>
        <w:tabs>
          <w:tab w:val="num" w:pos="0"/>
        </w:tabs>
        <w:ind w:left="2190" w:hanging="360"/>
      </w:pPr>
    </w:lvl>
    <w:lvl w:ilvl="1">
      <w:start w:val="1"/>
      <w:numFmt w:val="lowerLetter"/>
      <w:lvlText w:val="%2."/>
      <w:lvlJc w:val="left"/>
      <w:pPr>
        <w:tabs>
          <w:tab w:val="num" w:pos="0"/>
        </w:tabs>
        <w:ind w:left="2910" w:hanging="360"/>
      </w:pPr>
    </w:lvl>
    <w:lvl w:ilvl="2">
      <w:start w:val="1"/>
      <w:numFmt w:val="lowerRoman"/>
      <w:lvlText w:val="%3."/>
      <w:lvlJc w:val="right"/>
      <w:pPr>
        <w:tabs>
          <w:tab w:val="num" w:pos="0"/>
        </w:tabs>
        <w:ind w:left="3630" w:hanging="180"/>
      </w:pPr>
    </w:lvl>
    <w:lvl w:ilvl="3">
      <w:start w:val="1"/>
      <w:numFmt w:val="decimal"/>
      <w:lvlText w:val="%4."/>
      <w:lvlJc w:val="left"/>
      <w:pPr>
        <w:tabs>
          <w:tab w:val="num" w:pos="0"/>
        </w:tabs>
        <w:ind w:left="4350" w:hanging="360"/>
      </w:pPr>
    </w:lvl>
    <w:lvl w:ilvl="4">
      <w:start w:val="1"/>
      <w:numFmt w:val="lowerLetter"/>
      <w:lvlText w:val="%5."/>
      <w:lvlJc w:val="left"/>
      <w:pPr>
        <w:tabs>
          <w:tab w:val="num" w:pos="0"/>
        </w:tabs>
        <w:ind w:left="5070" w:hanging="360"/>
      </w:pPr>
    </w:lvl>
    <w:lvl w:ilvl="5">
      <w:start w:val="1"/>
      <w:numFmt w:val="lowerRoman"/>
      <w:lvlText w:val="%6."/>
      <w:lvlJc w:val="right"/>
      <w:pPr>
        <w:tabs>
          <w:tab w:val="num" w:pos="0"/>
        </w:tabs>
        <w:ind w:left="5790" w:hanging="180"/>
      </w:pPr>
    </w:lvl>
    <w:lvl w:ilvl="6">
      <w:start w:val="1"/>
      <w:numFmt w:val="decimal"/>
      <w:lvlText w:val="%7."/>
      <w:lvlJc w:val="left"/>
      <w:pPr>
        <w:tabs>
          <w:tab w:val="num" w:pos="0"/>
        </w:tabs>
        <w:ind w:left="6510" w:hanging="360"/>
      </w:pPr>
    </w:lvl>
    <w:lvl w:ilvl="7">
      <w:start w:val="1"/>
      <w:numFmt w:val="lowerLetter"/>
      <w:lvlText w:val="%8."/>
      <w:lvlJc w:val="left"/>
      <w:pPr>
        <w:tabs>
          <w:tab w:val="num" w:pos="0"/>
        </w:tabs>
        <w:ind w:left="7230" w:hanging="360"/>
      </w:pPr>
    </w:lvl>
    <w:lvl w:ilvl="8">
      <w:start w:val="1"/>
      <w:numFmt w:val="lowerRoman"/>
      <w:lvlText w:val="%9."/>
      <w:lvlJc w:val="right"/>
      <w:pPr>
        <w:tabs>
          <w:tab w:val="num" w:pos="0"/>
        </w:tabs>
        <w:ind w:left="7950" w:hanging="180"/>
      </w:pPr>
    </w:lvl>
  </w:abstractNum>
  <w:num w:numId="1">
    <w:abstractNumId w:val="31"/>
  </w:num>
  <w:num w:numId="2">
    <w:abstractNumId w:val="22"/>
  </w:num>
  <w:num w:numId="3">
    <w:abstractNumId w:val="33"/>
  </w:num>
  <w:num w:numId="4">
    <w:abstractNumId w:val="29"/>
  </w:num>
  <w:num w:numId="5">
    <w:abstractNumId w:val="26"/>
  </w:num>
  <w:num w:numId="6">
    <w:abstractNumId w:val="11"/>
  </w:num>
  <w:num w:numId="7">
    <w:abstractNumId w:val="34"/>
  </w:num>
  <w:num w:numId="8">
    <w:abstractNumId w:val="15"/>
  </w:num>
  <w:num w:numId="9">
    <w:abstractNumId w:val="1"/>
  </w:num>
  <w:num w:numId="10">
    <w:abstractNumId w:val="14"/>
  </w:num>
  <w:num w:numId="11">
    <w:abstractNumId w:val="35"/>
  </w:num>
  <w:num w:numId="12">
    <w:abstractNumId w:val="7"/>
  </w:num>
  <w:num w:numId="13">
    <w:abstractNumId w:val="8"/>
  </w:num>
  <w:num w:numId="14">
    <w:abstractNumId w:val="25"/>
  </w:num>
  <w:num w:numId="15">
    <w:abstractNumId w:val="16"/>
  </w:num>
  <w:num w:numId="16">
    <w:abstractNumId w:val="4"/>
  </w:num>
  <w:num w:numId="17">
    <w:abstractNumId w:val="30"/>
  </w:num>
  <w:num w:numId="18">
    <w:abstractNumId w:val="38"/>
  </w:num>
  <w:num w:numId="19">
    <w:abstractNumId w:val="21"/>
  </w:num>
  <w:num w:numId="20">
    <w:abstractNumId w:val="17"/>
  </w:num>
  <w:num w:numId="21">
    <w:abstractNumId w:val="3"/>
  </w:num>
  <w:num w:numId="22">
    <w:abstractNumId w:val="10"/>
  </w:num>
  <w:num w:numId="23">
    <w:abstractNumId w:val="5"/>
  </w:num>
  <w:num w:numId="24">
    <w:abstractNumId w:val="20"/>
  </w:num>
  <w:num w:numId="25">
    <w:abstractNumId w:val="19"/>
  </w:num>
  <w:num w:numId="26">
    <w:abstractNumId w:val="12"/>
  </w:num>
  <w:num w:numId="27">
    <w:abstractNumId w:val="6"/>
  </w:num>
  <w:num w:numId="28">
    <w:abstractNumId w:val="24"/>
  </w:num>
  <w:num w:numId="29">
    <w:abstractNumId w:val="18"/>
  </w:num>
  <w:num w:numId="30">
    <w:abstractNumId w:val="27"/>
  </w:num>
  <w:num w:numId="31">
    <w:abstractNumId w:val="23"/>
  </w:num>
  <w:num w:numId="32">
    <w:abstractNumId w:val="13"/>
  </w:num>
  <w:num w:numId="33">
    <w:abstractNumId w:val="28"/>
  </w:num>
  <w:num w:numId="34">
    <w:abstractNumId w:val="9"/>
  </w:num>
  <w:num w:numId="35">
    <w:abstractNumId w:val="37"/>
  </w:num>
  <w:num w:numId="36">
    <w:abstractNumId w:val="0"/>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lvlOverride w:ilvl="2"/>
    <w:lvlOverride w:ilvl="3"/>
    <w:lvlOverride w:ilvl="4"/>
    <w:lvlOverride w:ilvl="5"/>
    <w:lvlOverride w:ilvl="6"/>
    <w:lvlOverride w:ilvl="7"/>
    <w:lvlOverride w:ilvl="8"/>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KyNDC1tDAyNjGwtDRS0lEKTi0uzszPAykwqQUA0zMn4SwAAAA="/>
  </w:docVars>
  <w:rsids>
    <w:rsidRoot w:val="003A1F33"/>
    <w:rsid w:val="0001390C"/>
    <w:rsid w:val="000419C0"/>
    <w:rsid w:val="00045AA4"/>
    <w:rsid w:val="00053F28"/>
    <w:rsid w:val="00077D71"/>
    <w:rsid w:val="000B2574"/>
    <w:rsid w:val="000B4F3F"/>
    <w:rsid w:val="000E7899"/>
    <w:rsid w:val="00103F74"/>
    <w:rsid w:val="00135C11"/>
    <w:rsid w:val="0013792C"/>
    <w:rsid w:val="00167E8C"/>
    <w:rsid w:val="001B264A"/>
    <w:rsid w:val="001B3D44"/>
    <w:rsid w:val="001C0D8E"/>
    <w:rsid w:val="001C35C1"/>
    <w:rsid w:val="001E09E3"/>
    <w:rsid w:val="0020544D"/>
    <w:rsid w:val="002235B9"/>
    <w:rsid w:val="002268A1"/>
    <w:rsid w:val="00234A6D"/>
    <w:rsid w:val="00270886"/>
    <w:rsid w:val="002A637C"/>
    <w:rsid w:val="002B0236"/>
    <w:rsid w:val="002C384C"/>
    <w:rsid w:val="002E79FB"/>
    <w:rsid w:val="003136B3"/>
    <w:rsid w:val="00326604"/>
    <w:rsid w:val="00326A82"/>
    <w:rsid w:val="00327363"/>
    <w:rsid w:val="003543F0"/>
    <w:rsid w:val="003559FB"/>
    <w:rsid w:val="00383110"/>
    <w:rsid w:val="003A0404"/>
    <w:rsid w:val="003A1F33"/>
    <w:rsid w:val="003C05E7"/>
    <w:rsid w:val="003D3C85"/>
    <w:rsid w:val="00406095"/>
    <w:rsid w:val="00460892"/>
    <w:rsid w:val="00472411"/>
    <w:rsid w:val="00485675"/>
    <w:rsid w:val="004973CC"/>
    <w:rsid w:val="004B7053"/>
    <w:rsid w:val="00514767"/>
    <w:rsid w:val="005316F1"/>
    <w:rsid w:val="00553751"/>
    <w:rsid w:val="00560335"/>
    <w:rsid w:val="00564118"/>
    <w:rsid w:val="0059406A"/>
    <w:rsid w:val="005F11BF"/>
    <w:rsid w:val="00610180"/>
    <w:rsid w:val="00610DC4"/>
    <w:rsid w:val="00616036"/>
    <w:rsid w:val="00617390"/>
    <w:rsid w:val="006841F5"/>
    <w:rsid w:val="00694574"/>
    <w:rsid w:val="006F32C0"/>
    <w:rsid w:val="006F7B13"/>
    <w:rsid w:val="00724412"/>
    <w:rsid w:val="00727B57"/>
    <w:rsid w:val="00743E2C"/>
    <w:rsid w:val="0077072A"/>
    <w:rsid w:val="00771CEC"/>
    <w:rsid w:val="007752D4"/>
    <w:rsid w:val="007A386F"/>
    <w:rsid w:val="007B7DF0"/>
    <w:rsid w:val="007C51F5"/>
    <w:rsid w:val="007D1B37"/>
    <w:rsid w:val="00804F3C"/>
    <w:rsid w:val="00820066"/>
    <w:rsid w:val="0082247B"/>
    <w:rsid w:val="00892AB1"/>
    <w:rsid w:val="00893168"/>
    <w:rsid w:val="00893CEF"/>
    <w:rsid w:val="008B5396"/>
    <w:rsid w:val="008C3C15"/>
    <w:rsid w:val="008F683F"/>
    <w:rsid w:val="00915732"/>
    <w:rsid w:val="0093588F"/>
    <w:rsid w:val="00966B0C"/>
    <w:rsid w:val="00974B3D"/>
    <w:rsid w:val="009834F1"/>
    <w:rsid w:val="00997BDA"/>
    <w:rsid w:val="009A05D3"/>
    <w:rsid w:val="009C3D9E"/>
    <w:rsid w:val="009D0B23"/>
    <w:rsid w:val="009F1729"/>
    <w:rsid w:val="009F5EBF"/>
    <w:rsid w:val="00A1016E"/>
    <w:rsid w:val="00A10887"/>
    <w:rsid w:val="00A11B14"/>
    <w:rsid w:val="00A34713"/>
    <w:rsid w:val="00A37752"/>
    <w:rsid w:val="00A47750"/>
    <w:rsid w:val="00A51A6D"/>
    <w:rsid w:val="00A83868"/>
    <w:rsid w:val="00AA2119"/>
    <w:rsid w:val="00AA6877"/>
    <w:rsid w:val="00AC5730"/>
    <w:rsid w:val="00AC6154"/>
    <w:rsid w:val="00B21A48"/>
    <w:rsid w:val="00B352A4"/>
    <w:rsid w:val="00B76665"/>
    <w:rsid w:val="00B77BC3"/>
    <w:rsid w:val="00B84ED6"/>
    <w:rsid w:val="00B92EBB"/>
    <w:rsid w:val="00BB2D73"/>
    <w:rsid w:val="00BB39FD"/>
    <w:rsid w:val="00BB3E29"/>
    <w:rsid w:val="00BC3E01"/>
    <w:rsid w:val="00BD4A96"/>
    <w:rsid w:val="00BD4BFB"/>
    <w:rsid w:val="00C15F51"/>
    <w:rsid w:val="00C632DA"/>
    <w:rsid w:val="00CB3D54"/>
    <w:rsid w:val="00CC107D"/>
    <w:rsid w:val="00CC7515"/>
    <w:rsid w:val="00CE5045"/>
    <w:rsid w:val="00CF0843"/>
    <w:rsid w:val="00CF6C9A"/>
    <w:rsid w:val="00D03AD5"/>
    <w:rsid w:val="00D23DAE"/>
    <w:rsid w:val="00D3122C"/>
    <w:rsid w:val="00D3135F"/>
    <w:rsid w:val="00D80277"/>
    <w:rsid w:val="00D844BC"/>
    <w:rsid w:val="00DB1589"/>
    <w:rsid w:val="00DE1017"/>
    <w:rsid w:val="00DE76B3"/>
    <w:rsid w:val="00DF309A"/>
    <w:rsid w:val="00DF7DC8"/>
    <w:rsid w:val="00E17F8E"/>
    <w:rsid w:val="00E25799"/>
    <w:rsid w:val="00E30060"/>
    <w:rsid w:val="00E57A84"/>
    <w:rsid w:val="00E6189F"/>
    <w:rsid w:val="00E76A32"/>
    <w:rsid w:val="00E82B09"/>
    <w:rsid w:val="00E91AC5"/>
    <w:rsid w:val="00E91C09"/>
    <w:rsid w:val="00EA7076"/>
    <w:rsid w:val="00EB1E8C"/>
    <w:rsid w:val="00EB34FE"/>
    <w:rsid w:val="00EC77BB"/>
    <w:rsid w:val="00EE33D2"/>
    <w:rsid w:val="00EE3651"/>
    <w:rsid w:val="00EF4FA6"/>
    <w:rsid w:val="00F211EE"/>
    <w:rsid w:val="00F8126E"/>
    <w:rsid w:val="00F85CCF"/>
    <w:rsid w:val="00F92A4F"/>
    <w:rsid w:val="00F931EF"/>
    <w:rsid w:val="00FA0857"/>
    <w:rsid w:val="00FA6627"/>
    <w:rsid w:val="00FA68BB"/>
    <w:rsid w:val="00FD174A"/>
    <w:rsid w:val="00FF62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9FA70"/>
  <w15:chartTrackingRefBased/>
  <w15:docId w15:val="{195901A1-00F8-4F38-A230-1768D3AD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1F33"/>
  </w:style>
  <w:style w:type="paragraph" w:styleId="Heading1">
    <w:name w:val="heading 1"/>
    <w:basedOn w:val="Normal"/>
    <w:next w:val="Normal"/>
    <w:link w:val="Heading1Char"/>
    <w:uiPriority w:val="9"/>
    <w:qFormat/>
    <w:rsid w:val="003A1F33"/>
    <w:pPr>
      <w:keepNext/>
      <w:keepLines/>
      <w:spacing w:before="360" w:after="80"/>
      <w:outlineLvl w:val="0"/>
    </w:pPr>
    <w:rPr>
      <w:rFonts w:asciiTheme="majorHAnsi" w:eastAsiaTheme="majorEastAsia" w:hAnsiTheme="majorHAnsi" w:cstheme="majorBidi"/>
      <w:color w:val="2F5496" w:themeColor="accent1" w:themeShade="BF"/>
      <w:sz w:val="40"/>
      <w:szCs w:val="40"/>
      <w:lang w:val="en-GB"/>
    </w:rPr>
  </w:style>
  <w:style w:type="paragraph" w:styleId="Heading2">
    <w:name w:val="heading 2"/>
    <w:basedOn w:val="Normal"/>
    <w:next w:val="Normal"/>
    <w:link w:val="Heading2Char"/>
    <w:uiPriority w:val="9"/>
    <w:unhideWhenUsed/>
    <w:qFormat/>
    <w:rsid w:val="003A1F33"/>
    <w:pPr>
      <w:keepNext/>
      <w:keepLines/>
      <w:spacing w:before="160" w:after="80"/>
      <w:outlineLvl w:val="1"/>
    </w:pPr>
    <w:rPr>
      <w:rFonts w:asciiTheme="majorHAnsi" w:eastAsiaTheme="majorEastAsia" w:hAnsiTheme="majorHAnsi" w:cstheme="majorBidi"/>
      <w:color w:val="2F5496" w:themeColor="accent1" w:themeShade="BF"/>
      <w:sz w:val="32"/>
      <w:szCs w:val="32"/>
      <w:lang w:val="en-GB"/>
    </w:rPr>
  </w:style>
  <w:style w:type="paragraph" w:styleId="Heading3">
    <w:name w:val="heading 3"/>
    <w:basedOn w:val="Normal"/>
    <w:next w:val="Normal"/>
    <w:link w:val="Heading3Char"/>
    <w:uiPriority w:val="9"/>
    <w:unhideWhenUsed/>
    <w:qFormat/>
    <w:rsid w:val="003A1F33"/>
    <w:pPr>
      <w:keepNext/>
      <w:keepLines/>
      <w:spacing w:before="160" w:after="80"/>
      <w:outlineLvl w:val="2"/>
    </w:pPr>
    <w:rPr>
      <w:rFonts w:eastAsiaTheme="majorEastAsia" w:cstheme="majorBidi"/>
      <w:color w:val="2F5496" w:themeColor="accent1" w:themeShade="BF"/>
      <w:sz w:val="28"/>
      <w:szCs w:val="28"/>
      <w:lang w:val="en-GB"/>
    </w:rPr>
  </w:style>
  <w:style w:type="paragraph" w:styleId="Heading4">
    <w:name w:val="heading 4"/>
    <w:basedOn w:val="Normal"/>
    <w:next w:val="Normal"/>
    <w:link w:val="Heading4Char"/>
    <w:uiPriority w:val="9"/>
    <w:semiHidden/>
    <w:unhideWhenUsed/>
    <w:qFormat/>
    <w:rsid w:val="003A1F33"/>
    <w:pPr>
      <w:keepNext/>
      <w:keepLines/>
      <w:spacing w:before="80" w:after="40"/>
      <w:outlineLvl w:val="3"/>
    </w:pPr>
    <w:rPr>
      <w:rFonts w:eastAsiaTheme="majorEastAsia" w:cstheme="majorBidi"/>
      <w:i/>
      <w:iCs/>
      <w:color w:val="2F5496" w:themeColor="accent1" w:themeShade="BF"/>
      <w:lang w:val="en-GB"/>
    </w:rPr>
  </w:style>
  <w:style w:type="paragraph" w:styleId="Heading5">
    <w:name w:val="heading 5"/>
    <w:basedOn w:val="Normal"/>
    <w:next w:val="Normal"/>
    <w:link w:val="Heading5Char"/>
    <w:uiPriority w:val="9"/>
    <w:semiHidden/>
    <w:unhideWhenUsed/>
    <w:qFormat/>
    <w:rsid w:val="003A1F33"/>
    <w:pPr>
      <w:keepNext/>
      <w:keepLines/>
      <w:spacing w:before="80" w:after="40"/>
      <w:outlineLvl w:val="4"/>
    </w:pPr>
    <w:rPr>
      <w:rFonts w:eastAsiaTheme="majorEastAsia"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3A1F33"/>
    <w:pPr>
      <w:keepNext/>
      <w:keepLines/>
      <w:spacing w:before="40" w:after="0"/>
      <w:outlineLvl w:val="5"/>
    </w:pPr>
    <w:rPr>
      <w:rFonts w:eastAsiaTheme="majorEastAsia" w:cstheme="majorBidi"/>
      <w:i/>
      <w:iCs/>
      <w:color w:val="595959" w:themeColor="text1" w:themeTint="A6"/>
      <w:lang w:val="en-GB"/>
    </w:rPr>
  </w:style>
  <w:style w:type="paragraph" w:styleId="Heading7">
    <w:name w:val="heading 7"/>
    <w:basedOn w:val="Normal"/>
    <w:next w:val="Normal"/>
    <w:link w:val="Heading7Char"/>
    <w:uiPriority w:val="9"/>
    <w:semiHidden/>
    <w:unhideWhenUsed/>
    <w:qFormat/>
    <w:rsid w:val="003A1F33"/>
    <w:pPr>
      <w:keepNext/>
      <w:keepLines/>
      <w:spacing w:before="40" w:after="0"/>
      <w:outlineLvl w:val="6"/>
    </w:pPr>
    <w:rPr>
      <w:rFonts w:eastAsiaTheme="majorEastAsia"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3A1F33"/>
    <w:pPr>
      <w:keepNext/>
      <w:keepLines/>
      <w:spacing w:after="0"/>
      <w:outlineLvl w:val="7"/>
    </w:pPr>
    <w:rPr>
      <w:rFonts w:eastAsiaTheme="majorEastAsia"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3A1F33"/>
    <w:pPr>
      <w:keepNext/>
      <w:keepLines/>
      <w:spacing w:after="0"/>
      <w:outlineLvl w:val="8"/>
    </w:pPr>
    <w:rPr>
      <w:rFonts w:eastAsiaTheme="majorEastAsia" w:cstheme="majorBidi"/>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A1F33"/>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qFormat/>
    <w:rsid w:val="003A1F33"/>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rsid w:val="003A1F33"/>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3A1F33"/>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3A1F33"/>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3A1F3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3A1F3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3A1F3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3A1F3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3A1F33"/>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qFormat/>
    <w:rsid w:val="003A1F3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A1F33"/>
    <w:pPr>
      <w:numPr>
        <w:ilvl w:val="1"/>
      </w:numPr>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3A1F3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A1F33"/>
    <w:pPr>
      <w:spacing w:before="160"/>
      <w:jc w:val="center"/>
    </w:pPr>
    <w:rPr>
      <w:i/>
      <w:iCs/>
      <w:color w:val="404040" w:themeColor="text1" w:themeTint="BF"/>
      <w:lang w:val="en-GB"/>
    </w:rPr>
  </w:style>
  <w:style w:type="character" w:customStyle="1" w:styleId="QuoteChar">
    <w:name w:val="Quote Char"/>
    <w:basedOn w:val="DefaultParagraphFont"/>
    <w:link w:val="Quote"/>
    <w:uiPriority w:val="29"/>
    <w:rsid w:val="003A1F33"/>
    <w:rPr>
      <w:i/>
      <w:iCs/>
      <w:color w:val="404040" w:themeColor="text1" w:themeTint="BF"/>
      <w:lang w:val="en-GB"/>
    </w:rPr>
  </w:style>
  <w:style w:type="paragraph" w:styleId="ListParagraph">
    <w:name w:val="List Paragraph"/>
    <w:basedOn w:val="Normal"/>
    <w:uiPriority w:val="34"/>
    <w:qFormat/>
    <w:rsid w:val="003A1F33"/>
    <w:pPr>
      <w:ind w:left="720"/>
      <w:contextualSpacing/>
    </w:pPr>
    <w:rPr>
      <w:lang w:val="en-GB"/>
    </w:rPr>
  </w:style>
  <w:style w:type="character" w:styleId="IntenseEmphasis">
    <w:name w:val="Intense Emphasis"/>
    <w:basedOn w:val="DefaultParagraphFont"/>
    <w:uiPriority w:val="21"/>
    <w:qFormat/>
    <w:rsid w:val="003A1F33"/>
    <w:rPr>
      <w:i/>
      <w:iCs/>
      <w:color w:val="2F5496" w:themeColor="accent1" w:themeShade="BF"/>
    </w:rPr>
  </w:style>
  <w:style w:type="paragraph" w:styleId="IntenseQuote">
    <w:name w:val="Intense Quote"/>
    <w:basedOn w:val="Normal"/>
    <w:next w:val="Normal"/>
    <w:link w:val="IntenseQuoteChar"/>
    <w:uiPriority w:val="30"/>
    <w:qFormat/>
    <w:rsid w:val="003A1F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GB"/>
    </w:rPr>
  </w:style>
  <w:style w:type="character" w:customStyle="1" w:styleId="IntenseQuoteChar">
    <w:name w:val="Intense Quote Char"/>
    <w:basedOn w:val="DefaultParagraphFont"/>
    <w:link w:val="IntenseQuote"/>
    <w:uiPriority w:val="30"/>
    <w:rsid w:val="003A1F33"/>
    <w:rPr>
      <w:i/>
      <w:iCs/>
      <w:color w:val="2F5496" w:themeColor="accent1" w:themeShade="BF"/>
      <w:lang w:val="en-GB"/>
    </w:rPr>
  </w:style>
  <w:style w:type="character" w:styleId="IntenseReference">
    <w:name w:val="Intense Reference"/>
    <w:basedOn w:val="DefaultParagraphFont"/>
    <w:uiPriority w:val="32"/>
    <w:qFormat/>
    <w:rsid w:val="003A1F33"/>
    <w:rPr>
      <w:b/>
      <w:bCs/>
      <w:smallCaps/>
      <w:color w:val="2F5496" w:themeColor="accent1" w:themeShade="BF"/>
      <w:spacing w:val="5"/>
    </w:rPr>
  </w:style>
  <w:style w:type="character" w:styleId="Hyperlink">
    <w:name w:val="Hyperlink"/>
    <w:basedOn w:val="DefaultParagraphFont"/>
    <w:uiPriority w:val="99"/>
    <w:unhideWhenUsed/>
    <w:qFormat/>
    <w:rsid w:val="003A1F33"/>
    <w:rPr>
      <w:color w:val="0563C1" w:themeColor="hyperlink"/>
      <w:u w:val="single"/>
    </w:rPr>
  </w:style>
  <w:style w:type="paragraph" w:styleId="Header">
    <w:name w:val="header"/>
    <w:basedOn w:val="Normal"/>
    <w:link w:val="HeaderChar"/>
    <w:uiPriority w:val="99"/>
    <w:unhideWhenUsed/>
    <w:qFormat/>
    <w:rsid w:val="003A1F33"/>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3A1F33"/>
  </w:style>
  <w:style w:type="paragraph" w:styleId="Footer">
    <w:name w:val="footer"/>
    <w:basedOn w:val="Normal"/>
    <w:link w:val="FooterChar"/>
    <w:uiPriority w:val="99"/>
    <w:unhideWhenUsed/>
    <w:qFormat/>
    <w:rsid w:val="003A1F33"/>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3A1F33"/>
  </w:style>
  <w:style w:type="table" w:styleId="TableGrid">
    <w:name w:val="Table Grid"/>
    <w:basedOn w:val="TableNormal"/>
    <w:uiPriority w:val="39"/>
    <w:qFormat/>
    <w:rsid w:val="003A1F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E25799"/>
    <w:rPr>
      <w:color w:val="605E5C"/>
      <w:shd w:val="clear" w:color="auto" w:fill="E1DFDD"/>
    </w:rPr>
  </w:style>
  <w:style w:type="table" w:customStyle="1" w:styleId="PlainTable21">
    <w:name w:val="Plain Table 21"/>
    <w:basedOn w:val="TableNormal"/>
    <w:uiPriority w:val="42"/>
    <w:qFormat/>
    <w:rsid w:val="00E25799"/>
    <w:pPr>
      <w:spacing w:after="0" w:line="240" w:lineRule="auto"/>
    </w:pPr>
    <w:rPr>
      <w:rFonts w:ascii="Calibri" w:eastAsia="Calibri" w:hAnsi="Calibri" w:cs="SimSun"/>
      <w:sz w:val="20"/>
      <w:szCs w:val="20"/>
      <w:lang w:val="en-GB" w:eastAsia="en-GB"/>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E25799"/>
    <w:pPr>
      <w:spacing w:after="0" w:line="240" w:lineRule="auto"/>
    </w:pPr>
    <w:rPr>
      <w:rFonts w:ascii="Calibri" w:eastAsia="Calibri" w:hAnsi="Calibri" w:cs="Times New Roman"/>
      <w:lang w:val="en-GB" w:eastAsia="en-GB"/>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ranslation-word">
    <w:name w:val="translation-word"/>
    <w:basedOn w:val="DefaultParagraphFont"/>
    <w:rsid w:val="0020544D"/>
  </w:style>
  <w:style w:type="character" w:customStyle="1" w:styleId="fontstyle21">
    <w:name w:val="fontstyle21"/>
    <w:basedOn w:val="DefaultParagraphFont"/>
    <w:rsid w:val="0020544D"/>
    <w:rPr>
      <w:rFonts w:ascii="Bembo" w:hAnsi="Bembo" w:hint="default"/>
      <w:b w:val="0"/>
      <w:bCs w:val="0"/>
      <w:i w:val="0"/>
      <w:iCs w:val="0"/>
      <w:color w:val="231F20"/>
      <w:sz w:val="20"/>
      <w:szCs w:val="20"/>
    </w:rPr>
  </w:style>
  <w:style w:type="character" w:customStyle="1" w:styleId="fontstyle41">
    <w:name w:val="fontstyle41"/>
    <w:basedOn w:val="DefaultParagraphFont"/>
    <w:rsid w:val="0020544D"/>
    <w:rPr>
      <w:rFonts w:ascii="SymbolBS-I" w:hAnsi="SymbolBS-I" w:hint="default"/>
      <w:b w:val="0"/>
      <w:bCs w:val="0"/>
      <w:i w:val="0"/>
      <w:iCs w:val="0"/>
      <w:color w:val="231F20"/>
      <w:sz w:val="18"/>
      <w:szCs w:val="18"/>
    </w:rPr>
  </w:style>
  <w:style w:type="character" w:styleId="CommentReference">
    <w:name w:val="annotation reference"/>
    <w:basedOn w:val="DefaultParagraphFont"/>
    <w:uiPriority w:val="99"/>
    <w:rsid w:val="0020544D"/>
    <w:rPr>
      <w:sz w:val="16"/>
      <w:szCs w:val="16"/>
    </w:rPr>
  </w:style>
  <w:style w:type="character" w:styleId="Strong">
    <w:name w:val="Strong"/>
    <w:uiPriority w:val="22"/>
    <w:qFormat/>
    <w:rsid w:val="008B5396"/>
    <w:rPr>
      <w:b/>
      <w:bCs/>
    </w:rPr>
  </w:style>
  <w:style w:type="paragraph" w:customStyle="1" w:styleId="Default">
    <w:name w:val="Default"/>
    <w:rsid w:val="009834F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Preformatted">
    <w:name w:val="HTML Preformatted"/>
    <w:basedOn w:val="Normal"/>
    <w:link w:val="HTMLPreformattedChar"/>
    <w:uiPriority w:val="99"/>
    <w:unhideWhenUsed/>
    <w:rsid w:val="00983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834F1"/>
    <w:rPr>
      <w:rFonts w:ascii="Courier New" w:eastAsia="Times New Roman" w:hAnsi="Courier New" w:cs="Courier New"/>
      <w:sz w:val="20"/>
      <w:szCs w:val="20"/>
    </w:rPr>
  </w:style>
  <w:style w:type="paragraph" w:styleId="NoSpacing">
    <w:name w:val="No Spacing"/>
    <w:uiPriority w:val="1"/>
    <w:qFormat/>
    <w:rsid w:val="009834F1"/>
    <w:pPr>
      <w:spacing w:after="0" w:line="240" w:lineRule="auto"/>
    </w:pPr>
    <w:rPr>
      <w:rFonts w:ascii="Calibri" w:eastAsia="Calibri" w:hAnsi="Calibri" w:cs="SimSun"/>
    </w:rPr>
  </w:style>
  <w:style w:type="paragraph" w:styleId="CommentText">
    <w:name w:val="annotation text"/>
    <w:basedOn w:val="Normal"/>
    <w:link w:val="CommentTextChar"/>
    <w:uiPriority w:val="99"/>
    <w:rsid w:val="009834F1"/>
    <w:pPr>
      <w:spacing w:after="200" w:line="240" w:lineRule="auto"/>
    </w:pPr>
    <w:rPr>
      <w:rFonts w:ascii="Calibri" w:eastAsia="Calibri" w:hAnsi="Calibri" w:cs="SimSun"/>
      <w:sz w:val="20"/>
      <w:szCs w:val="20"/>
    </w:rPr>
  </w:style>
  <w:style w:type="character" w:customStyle="1" w:styleId="CommentTextChar">
    <w:name w:val="Comment Text Char"/>
    <w:basedOn w:val="DefaultParagraphFont"/>
    <w:link w:val="CommentText"/>
    <w:uiPriority w:val="99"/>
    <w:rsid w:val="009834F1"/>
    <w:rPr>
      <w:rFonts w:ascii="Calibri" w:eastAsia="Calibri" w:hAnsi="Calibri" w:cs="SimSun"/>
      <w:sz w:val="20"/>
      <w:szCs w:val="20"/>
    </w:rPr>
  </w:style>
  <w:style w:type="paragraph" w:customStyle="1" w:styleId="TableParagraph">
    <w:name w:val="Table Paragraph"/>
    <w:basedOn w:val="Normal"/>
    <w:uiPriority w:val="1"/>
    <w:rsid w:val="009834F1"/>
    <w:pPr>
      <w:widowControl w:val="0"/>
      <w:autoSpaceDE w:val="0"/>
      <w:autoSpaceDN w:val="0"/>
      <w:spacing w:after="0" w:line="240" w:lineRule="auto"/>
    </w:pPr>
    <w:rPr>
      <w:rFonts w:ascii="Times New Roman" w:eastAsia="Times New Roman" w:hAnsi="Times New Roman" w:cs="Times New Roman"/>
      <w:sz w:val="20"/>
      <w:szCs w:val="20"/>
    </w:rPr>
  </w:style>
  <w:style w:type="paragraph" w:styleId="BodyText">
    <w:name w:val="Body Text"/>
    <w:basedOn w:val="Normal"/>
    <w:link w:val="BodyTextChar"/>
    <w:rsid w:val="009834F1"/>
    <w:pPr>
      <w:widowControl w:val="0"/>
      <w:autoSpaceDE w:val="0"/>
      <w:autoSpaceDN w:val="0"/>
      <w:spacing w:after="0" w:line="240" w:lineRule="auto"/>
      <w:ind w:left="238"/>
      <w:jc w:val="both"/>
    </w:pPr>
    <w:rPr>
      <w:rFonts w:ascii="Times New Roman" w:eastAsia="Times New Roman" w:hAnsi="Times New Roman" w:cs="Times New Roman"/>
      <w:sz w:val="28"/>
      <w:szCs w:val="28"/>
      <w:lang w:val="x-none" w:eastAsia="x-none"/>
    </w:rPr>
  </w:style>
  <w:style w:type="character" w:customStyle="1" w:styleId="BodyTextChar">
    <w:name w:val="Body Text Char"/>
    <w:basedOn w:val="DefaultParagraphFont"/>
    <w:link w:val="BodyText"/>
    <w:rsid w:val="009834F1"/>
    <w:rPr>
      <w:rFonts w:ascii="Times New Roman" w:eastAsia="Times New Roman" w:hAnsi="Times New Roman" w:cs="Times New Roman"/>
      <w:sz w:val="28"/>
      <w:szCs w:val="28"/>
      <w:lang w:val="x-none" w:eastAsia="x-none"/>
    </w:rPr>
  </w:style>
  <w:style w:type="character" w:customStyle="1" w:styleId="fontstyle01">
    <w:name w:val="fontstyle01"/>
    <w:rsid w:val="009834F1"/>
    <w:rPr>
      <w:rFonts w:ascii="Arial-BoldMT" w:hAnsi="Arial-BoldMT" w:hint="default"/>
      <w:b/>
      <w:bCs/>
      <w:i w:val="0"/>
      <w:iCs w:val="0"/>
      <w:color w:val="000000"/>
      <w:sz w:val="22"/>
      <w:szCs w:val="22"/>
    </w:rPr>
  </w:style>
  <w:style w:type="character" w:customStyle="1" w:styleId="fontstyle31">
    <w:name w:val="fontstyle31"/>
    <w:rsid w:val="009834F1"/>
    <w:rPr>
      <w:rFonts w:ascii="AdvOT863180fb+fb" w:hAnsi="AdvOT863180fb+fb" w:hint="default"/>
      <w:b w:val="0"/>
      <w:bCs w:val="0"/>
      <w:i w:val="0"/>
      <w:iCs w:val="0"/>
      <w:color w:val="000000"/>
      <w:sz w:val="16"/>
      <w:szCs w:val="16"/>
    </w:rPr>
  </w:style>
  <w:style w:type="character" w:customStyle="1" w:styleId="fontstyle61">
    <w:name w:val="fontstyle61"/>
    <w:rsid w:val="009834F1"/>
    <w:rPr>
      <w:rFonts w:ascii="AdvOTaa6301a5.B" w:hAnsi="AdvOTaa6301a5.B" w:hint="default"/>
      <w:b w:val="0"/>
      <w:bCs w:val="0"/>
      <w:i w:val="0"/>
      <w:iCs w:val="0"/>
      <w:color w:val="000000"/>
      <w:sz w:val="10"/>
      <w:szCs w:val="10"/>
    </w:rPr>
  </w:style>
  <w:style w:type="character" w:customStyle="1" w:styleId="fontstyle51">
    <w:name w:val="fontstyle51"/>
    <w:rsid w:val="009834F1"/>
    <w:rPr>
      <w:rFonts w:ascii="AdvOT999035f4+02" w:hAnsi="AdvOT999035f4+02" w:hint="default"/>
      <w:b w:val="0"/>
      <w:bCs w:val="0"/>
      <w:i w:val="0"/>
      <w:iCs w:val="0"/>
      <w:color w:val="000000"/>
      <w:sz w:val="18"/>
      <w:szCs w:val="18"/>
    </w:rPr>
  </w:style>
  <w:style w:type="character" w:styleId="PlaceholderText">
    <w:name w:val="Placeholder Text"/>
    <w:basedOn w:val="DefaultParagraphFont"/>
    <w:uiPriority w:val="99"/>
    <w:semiHidden/>
    <w:rsid w:val="009834F1"/>
    <w:rPr>
      <w:color w:val="666666"/>
    </w:rPr>
  </w:style>
  <w:style w:type="character" w:customStyle="1" w:styleId="UnresolvedMention10">
    <w:name w:val="Unresolved Mention1"/>
    <w:basedOn w:val="DefaultParagraphFont"/>
    <w:uiPriority w:val="99"/>
    <w:semiHidden/>
    <w:unhideWhenUsed/>
    <w:qFormat/>
    <w:rsid w:val="009834F1"/>
    <w:rPr>
      <w:color w:val="605E5C"/>
      <w:shd w:val="clear" w:color="auto" w:fill="E1DFDD"/>
    </w:rPr>
  </w:style>
  <w:style w:type="table" w:styleId="PlainTable2">
    <w:name w:val="Plain Table 2"/>
    <w:basedOn w:val="TableNormal"/>
    <w:uiPriority w:val="42"/>
    <w:rsid w:val="009834F1"/>
    <w:pPr>
      <w:spacing w:after="0" w:line="240" w:lineRule="auto"/>
    </w:pPr>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834F1"/>
    <w:pPr>
      <w:spacing w:after="0" w:line="240" w:lineRule="auto"/>
    </w:pPr>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834F1"/>
    <w:pPr>
      <w:spacing w:after="0" w:line="240" w:lineRule="auto"/>
    </w:pPr>
    <w:rPr>
      <w:kern w:val="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LineNumber">
    <w:name w:val="line number"/>
    <w:basedOn w:val="DefaultParagraphFont"/>
    <w:uiPriority w:val="99"/>
    <w:semiHidden/>
    <w:unhideWhenUsed/>
    <w:rsid w:val="009834F1"/>
  </w:style>
  <w:style w:type="paragraph" w:styleId="CommentSubject">
    <w:name w:val="annotation subject"/>
    <w:basedOn w:val="CommentText"/>
    <w:next w:val="CommentText"/>
    <w:link w:val="CommentSubjectChar"/>
    <w:uiPriority w:val="99"/>
    <w:semiHidden/>
    <w:unhideWhenUsed/>
    <w:rsid w:val="009834F1"/>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9834F1"/>
    <w:rPr>
      <w:rFonts w:ascii="Calibri" w:eastAsia="Calibri" w:hAnsi="Calibri" w:cs="SimSun"/>
      <w:b/>
      <w:bCs/>
      <w:kern w:val="2"/>
      <w:sz w:val="20"/>
      <w:szCs w:val="20"/>
      <w14:ligatures w14:val="standardContextual"/>
    </w:rPr>
  </w:style>
  <w:style w:type="paragraph" w:styleId="BalloonText">
    <w:name w:val="Balloon Text"/>
    <w:basedOn w:val="Normal"/>
    <w:link w:val="BalloonTextChar"/>
    <w:semiHidden/>
    <w:unhideWhenUsed/>
    <w:rsid w:val="009834F1"/>
    <w:pPr>
      <w:spacing w:after="0" w:line="240" w:lineRule="auto"/>
    </w:pPr>
    <w:rPr>
      <w:rFonts w:ascii="Segoe UI" w:hAnsi="Segoe UI" w:cs="Segoe UI"/>
      <w:kern w:val="2"/>
      <w:sz w:val="18"/>
      <w:szCs w:val="18"/>
      <w14:ligatures w14:val="standardContextual"/>
    </w:rPr>
  </w:style>
  <w:style w:type="character" w:customStyle="1" w:styleId="BalloonTextChar">
    <w:name w:val="Balloon Text Char"/>
    <w:basedOn w:val="DefaultParagraphFont"/>
    <w:link w:val="BalloonText"/>
    <w:semiHidden/>
    <w:rsid w:val="009834F1"/>
    <w:rPr>
      <w:rFonts w:ascii="Segoe UI" w:hAnsi="Segoe UI" w:cs="Segoe UI"/>
      <w:kern w:val="2"/>
      <w:sz w:val="18"/>
      <w:szCs w:val="18"/>
      <w14:ligatures w14:val="standardContextual"/>
    </w:rPr>
  </w:style>
  <w:style w:type="paragraph" w:styleId="NormalWeb">
    <w:name w:val="Normal (Web)"/>
    <w:basedOn w:val="Normal"/>
    <w:uiPriority w:val="99"/>
    <w:unhideWhenUsed/>
    <w:rsid w:val="009834F1"/>
    <w:rPr>
      <w:rFonts w:ascii="Times New Roman" w:hAnsi="Times New Roman" w:cs="Times New Roman"/>
      <w:kern w:val="2"/>
      <w:sz w:val="24"/>
      <w:szCs w:val="24"/>
      <w14:ligatures w14:val="standardContextual"/>
    </w:rPr>
  </w:style>
  <w:style w:type="character" w:styleId="FollowedHyperlink">
    <w:name w:val="FollowedHyperlink"/>
    <w:basedOn w:val="DefaultParagraphFont"/>
    <w:uiPriority w:val="99"/>
    <w:semiHidden/>
    <w:unhideWhenUsed/>
    <w:rsid w:val="009834F1"/>
    <w:rPr>
      <w:color w:val="954F72" w:themeColor="followedHyperlink"/>
      <w:u w:val="single"/>
    </w:rPr>
  </w:style>
  <w:style w:type="character" w:customStyle="1" w:styleId="UnresolvedMention2">
    <w:name w:val="Unresolved Mention2"/>
    <w:basedOn w:val="DefaultParagraphFont"/>
    <w:uiPriority w:val="99"/>
    <w:semiHidden/>
    <w:unhideWhenUsed/>
    <w:qFormat/>
    <w:rsid w:val="00B77BC3"/>
    <w:rPr>
      <w:color w:val="605E5C"/>
      <w:shd w:val="clear" w:color="auto" w:fill="E1DFDD"/>
    </w:rPr>
  </w:style>
  <w:style w:type="paragraph" w:customStyle="1" w:styleId="Heading">
    <w:name w:val="Heading"/>
    <w:basedOn w:val="Normal"/>
    <w:next w:val="BodyText"/>
    <w:qFormat/>
    <w:rsid w:val="00B77BC3"/>
    <w:pPr>
      <w:keepNext/>
      <w:suppressAutoHyphens/>
      <w:spacing w:before="240" w:after="120" w:line="264" w:lineRule="auto"/>
      <w:ind w:left="320" w:hanging="320"/>
      <w:jc w:val="both"/>
    </w:pPr>
    <w:rPr>
      <w:rFonts w:ascii="Liberation Sans" w:eastAsia="Noto Sans CJK SC" w:hAnsi="Liberation Sans" w:cs="Noto Sans Devanagari"/>
      <w:color w:val="000000"/>
      <w:kern w:val="2"/>
      <w:sz w:val="28"/>
      <w:szCs w:val="28"/>
      <w14:ligatures w14:val="standardContextual"/>
    </w:rPr>
  </w:style>
  <w:style w:type="paragraph" w:styleId="List">
    <w:name w:val="List"/>
    <w:basedOn w:val="BodyText"/>
    <w:rsid w:val="00B77BC3"/>
    <w:pPr>
      <w:widowControl/>
      <w:suppressAutoHyphens/>
      <w:autoSpaceDE/>
      <w:autoSpaceDN/>
      <w:spacing w:after="140" w:line="276" w:lineRule="auto"/>
      <w:ind w:left="320" w:hanging="320"/>
    </w:pPr>
    <w:rPr>
      <w:rFonts w:ascii="Cambria" w:eastAsia="Cambria" w:hAnsi="Cambria" w:cs="Noto Sans Devanagari"/>
      <w:color w:val="000000"/>
      <w:kern w:val="2"/>
      <w:sz w:val="20"/>
      <w:szCs w:val="24"/>
      <w:lang w:val="en-US" w:eastAsia="en-US"/>
      <w14:ligatures w14:val="standardContextual"/>
    </w:rPr>
  </w:style>
  <w:style w:type="paragraph" w:styleId="Caption">
    <w:name w:val="caption"/>
    <w:basedOn w:val="Normal"/>
    <w:qFormat/>
    <w:rsid w:val="00B77BC3"/>
    <w:pPr>
      <w:suppressLineNumbers/>
      <w:suppressAutoHyphens/>
      <w:spacing w:before="120" w:after="120" w:line="264" w:lineRule="auto"/>
      <w:ind w:left="320" w:hanging="320"/>
      <w:jc w:val="both"/>
    </w:pPr>
    <w:rPr>
      <w:rFonts w:ascii="Cambria" w:eastAsia="Cambria" w:hAnsi="Cambria" w:cs="Noto Sans Devanagari"/>
      <w:i/>
      <w:iCs/>
      <w:color w:val="000000"/>
      <w:kern w:val="2"/>
      <w:sz w:val="24"/>
      <w:szCs w:val="24"/>
      <w14:ligatures w14:val="standardContextual"/>
    </w:rPr>
  </w:style>
  <w:style w:type="paragraph" w:customStyle="1" w:styleId="Index">
    <w:name w:val="Index"/>
    <w:basedOn w:val="Normal"/>
    <w:qFormat/>
    <w:rsid w:val="00B77BC3"/>
    <w:pPr>
      <w:suppressLineNumbers/>
      <w:suppressAutoHyphens/>
      <w:spacing w:after="209" w:line="264" w:lineRule="auto"/>
      <w:ind w:left="320" w:hanging="320"/>
      <w:jc w:val="both"/>
    </w:pPr>
    <w:rPr>
      <w:rFonts w:ascii="Cambria" w:eastAsia="Cambria" w:hAnsi="Cambria" w:cs="Noto Sans Devanagari"/>
      <w:color w:val="000000"/>
      <w:kern w:val="2"/>
      <w:sz w:val="20"/>
      <w:szCs w:val="24"/>
      <w14:ligatures w14:val="standardContextual"/>
    </w:rPr>
  </w:style>
  <w:style w:type="paragraph" w:customStyle="1" w:styleId="HeaderandFooter">
    <w:name w:val="Header and Footer"/>
    <w:basedOn w:val="Normal"/>
    <w:qFormat/>
    <w:rsid w:val="00B77BC3"/>
    <w:pPr>
      <w:suppressAutoHyphens/>
      <w:spacing w:after="209" w:line="264" w:lineRule="auto"/>
      <w:ind w:left="320" w:hanging="320"/>
      <w:jc w:val="both"/>
    </w:pPr>
    <w:rPr>
      <w:rFonts w:ascii="Cambria" w:eastAsia="Cambria" w:hAnsi="Cambria" w:cs="Cambria"/>
      <w:color w:val="000000"/>
      <w:kern w:val="2"/>
      <w:sz w:val="20"/>
      <w:szCs w:val="24"/>
      <w14:ligatures w14:val="standardContextual"/>
    </w:rPr>
  </w:style>
  <w:style w:type="character" w:customStyle="1" w:styleId="HeaderChar1">
    <w:name w:val="Header Char1"/>
    <w:basedOn w:val="DefaultParagraphFont"/>
    <w:uiPriority w:val="99"/>
    <w:semiHidden/>
    <w:rsid w:val="00B77BC3"/>
    <w:rPr>
      <w:rFonts w:ascii="Cambria" w:eastAsia="Cambria" w:hAnsi="Cambria" w:cs="Cambria"/>
      <w:color w:val="000000"/>
      <w:sz w:val="20"/>
    </w:rPr>
  </w:style>
  <w:style w:type="character" w:customStyle="1" w:styleId="FooterChar1">
    <w:name w:val="Footer Char1"/>
    <w:basedOn w:val="DefaultParagraphFont"/>
    <w:uiPriority w:val="99"/>
    <w:semiHidden/>
    <w:rsid w:val="00B77BC3"/>
    <w:rPr>
      <w:rFonts w:ascii="Cambria" w:eastAsia="Cambria" w:hAnsi="Cambria" w:cs="Cambria"/>
      <w:color w:val="000000"/>
      <w:sz w:val="20"/>
    </w:rPr>
  </w:style>
  <w:style w:type="character" w:customStyle="1" w:styleId="TitleChar1">
    <w:name w:val="Title Char1"/>
    <w:basedOn w:val="DefaultParagraphFont"/>
    <w:uiPriority w:val="10"/>
    <w:rsid w:val="00B77BC3"/>
    <w:rPr>
      <w:rFonts w:asciiTheme="majorHAnsi" w:eastAsiaTheme="majorEastAsia" w:hAnsiTheme="majorHAnsi" w:cstheme="majorBidi"/>
      <w:spacing w:val="-10"/>
      <w:kern w:val="28"/>
      <w:sz w:val="56"/>
      <w:szCs w:val="56"/>
    </w:rPr>
  </w:style>
  <w:style w:type="paragraph" w:customStyle="1" w:styleId="PreformattedText">
    <w:name w:val="Preformatted Text"/>
    <w:basedOn w:val="Normal"/>
    <w:qFormat/>
    <w:rsid w:val="00B77BC3"/>
    <w:pPr>
      <w:suppressAutoHyphens/>
      <w:spacing w:after="0" w:line="240" w:lineRule="auto"/>
    </w:pPr>
    <w:rPr>
      <w:rFonts w:ascii="Liberation Mono" w:eastAsia="Liberation Mono" w:hAnsi="Liberation Mono" w:cs="Liberation Mono"/>
      <w:sz w:val="20"/>
      <w:szCs w:val="20"/>
    </w:rPr>
  </w:style>
  <w:style w:type="table" w:customStyle="1" w:styleId="TableGrid0">
    <w:name w:val="TableGrid"/>
    <w:rsid w:val="00B77BC3"/>
    <w:pPr>
      <w:suppressAutoHyphens/>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character" w:customStyle="1" w:styleId="authors-info">
    <w:name w:val="authors-info"/>
    <w:basedOn w:val="DefaultParagraphFont"/>
    <w:rsid w:val="00B77BC3"/>
  </w:style>
  <w:style w:type="character" w:customStyle="1" w:styleId="blue-tooltip">
    <w:name w:val="blue-tooltip"/>
    <w:basedOn w:val="DefaultParagraphFont"/>
    <w:rsid w:val="00B77BC3"/>
  </w:style>
  <w:style w:type="character" w:styleId="Emphasis">
    <w:name w:val="Emphasis"/>
    <w:uiPriority w:val="20"/>
    <w:qFormat/>
    <w:rsid w:val="0093588F"/>
    <w:rPr>
      <w:i/>
      <w:iCs/>
    </w:rPr>
  </w:style>
  <w:style w:type="table" w:styleId="LightGrid">
    <w:name w:val="Light Grid"/>
    <w:basedOn w:val="TableNormal"/>
    <w:uiPriority w:val="62"/>
    <w:rsid w:val="0093588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eastAsia="Times New Roman"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eastAsia="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eastAsia="Times New Roman" w:cs="Times New Roman"/>
        <w:b/>
        <w:bCs/>
      </w:rPr>
    </w:tblStylePr>
    <w:tblStylePr w:type="lastCol">
      <w:rPr>
        <w:rFonts w:eastAsia="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character" w:customStyle="1" w:styleId="name">
    <w:name w:val="name"/>
    <w:rsid w:val="0093588F"/>
  </w:style>
  <w:style w:type="character" w:customStyle="1" w:styleId="title-text">
    <w:name w:val="title-text"/>
    <w:rsid w:val="0093588F"/>
  </w:style>
  <w:style w:type="character" w:customStyle="1" w:styleId="given-name">
    <w:name w:val="given-name"/>
    <w:rsid w:val="0093588F"/>
  </w:style>
  <w:style w:type="character" w:customStyle="1" w:styleId="text">
    <w:name w:val="text"/>
    <w:rsid w:val="0093588F"/>
  </w:style>
  <w:style w:type="character" w:customStyle="1" w:styleId="anchor-text">
    <w:name w:val="anchor-text"/>
    <w:rsid w:val="0093588F"/>
  </w:style>
  <w:style w:type="character" w:customStyle="1" w:styleId="uv3um">
    <w:name w:val="uv3um"/>
    <w:rsid w:val="0093588F"/>
  </w:style>
  <w:style w:type="character" w:customStyle="1" w:styleId="katex-mathml">
    <w:name w:val="katex-mathml"/>
    <w:basedOn w:val="DefaultParagraphFont"/>
    <w:rsid w:val="0093588F"/>
  </w:style>
  <w:style w:type="character" w:customStyle="1" w:styleId="mord">
    <w:name w:val="mord"/>
    <w:basedOn w:val="DefaultParagraphFont"/>
    <w:rsid w:val="0093588F"/>
  </w:style>
  <w:style w:type="character" w:customStyle="1" w:styleId="mrel">
    <w:name w:val="mrel"/>
    <w:basedOn w:val="DefaultParagraphFont"/>
    <w:rsid w:val="0093588F"/>
  </w:style>
  <w:style w:type="character" w:customStyle="1" w:styleId="mpunct">
    <w:name w:val="mpunct"/>
    <w:basedOn w:val="DefaultParagraphFont"/>
    <w:rsid w:val="0093588F"/>
  </w:style>
  <w:style w:type="character" w:customStyle="1" w:styleId="mbin">
    <w:name w:val="mbin"/>
    <w:rsid w:val="0093588F"/>
  </w:style>
  <w:style w:type="character" w:styleId="UnresolvedMention">
    <w:name w:val="Unresolved Mention"/>
    <w:basedOn w:val="DefaultParagraphFont"/>
    <w:uiPriority w:val="99"/>
    <w:semiHidden/>
    <w:unhideWhenUsed/>
    <w:rsid w:val="00A1016E"/>
    <w:rPr>
      <w:color w:val="605E5C"/>
      <w:shd w:val="clear" w:color="auto" w:fill="E1DFDD"/>
    </w:rPr>
  </w:style>
  <w:style w:type="table" w:styleId="ListTable6Colorful">
    <w:name w:val="List Table 6 Colorful"/>
    <w:basedOn w:val="TableNormal"/>
    <w:uiPriority w:val="51"/>
    <w:rsid w:val="0051476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022465">
      <w:bodyDiv w:val="1"/>
      <w:marLeft w:val="0"/>
      <w:marRight w:val="0"/>
      <w:marTop w:val="0"/>
      <w:marBottom w:val="0"/>
      <w:divBdr>
        <w:top w:val="none" w:sz="0" w:space="0" w:color="auto"/>
        <w:left w:val="none" w:sz="0" w:space="0" w:color="auto"/>
        <w:bottom w:val="none" w:sz="0" w:space="0" w:color="auto"/>
        <w:right w:val="none" w:sz="0" w:space="0" w:color="auto"/>
      </w:divBdr>
    </w:div>
    <w:div w:id="647561917">
      <w:bodyDiv w:val="1"/>
      <w:marLeft w:val="0"/>
      <w:marRight w:val="0"/>
      <w:marTop w:val="0"/>
      <w:marBottom w:val="0"/>
      <w:divBdr>
        <w:top w:val="none" w:sz="0" w:space="0" w:color="auto"/>
        <w:left w:val="none" w:sz="0" w:space="0" w:color="auto"/>
        <w:bottom w:val="none" w:sz="0" w:space="0" w:color="auto"/>
        <w:right w:val="none" w:sz="0" w:space="0" w:color="auto"/>
      </w:divBdr>
    </w:div>
    <w:div w:id="699673040">
      <w:bodyDiv w:val="1"/>
      <w:marLeft w:val="0"/>
      <w:marRight w:val="0"/>
      <w:marTop w:val="0"/>
      <w:marBottom w:val="0"/>
      <w:divBdr>
        <w:top w:val="none" w:sz="0" w:space="0" w:color="auto"/>
        <w:left w:val="none" w:sz="0" w:space="0" w:color="auto"/>
        <w:bottom w:val="none" w:sz="0" w:space="0" w:color="auto"/>
        <w:right w:val="none" w:sz="0" w:space="0" w:color="auto"/>
      </w:divBdr>
    </w:div>
    <w:div w:id="1019623692">
      <w:bodyDiv w:val="1"/>
      <w:marLeft w:val="0"/>
      <w:marRight w:val="0"/>
      <w:marTop w:val="0"/>
      <w:marBottom w:val="0"/>
      <w:divBdr>
        <w:top w:val="none" w:sz="0" w:space="0" w:color="auto"/>
        <w:left w:val="none" w:sz="0" w:space="0" w:color="auto"/>
        <w:bottom w:val="none" w:sz="0" w:space="0" w:color="auto"/>
        <w:right w:val="none" w:sz="0" w:space="0" w:color="auto"/>
      </w:divBdr>
    </w:div>
    <w:div w:id="1816531459">
      <w:bodyDiv w:val="1"/>
      <w:marLeft w:val="0"/>
      <w:marRight w:val="0"/>
      <w:marTop w:val="0"/>
      <w:marBottom w:val="0"/>
      <w:divBdr>
        <w:top w:val="none" w:sz="0" w:space="0" w:color="auto"/>
        <w:left w:val="none" w:sz="0" w:space="0" w:color="auto"/>
        <w:bottom w:val="none" w:sz="0" w:space="0" w:color="auto"/>
        <w:right w:val="none" w:sz="0" w:space="0" w:color="auto"/>
      </w:divBdr>
    </w:div>
    <w:div w:id="1821455366">
      <w:bodyDiv w:val="1"/>
      <w:marLeft w:val="0"/>
      <w:marRight w:val="0"/>
      <w:marTop w:val="0"/>
      <w:marBottom w:val="0"/>
      <w:divBdr>
        <w:top w:val="none" w:sz="0" w:space="0" w:color="auto"/>
        <w:left w:val="none" w:sz="0" w:space="0" w:color="auto"/>
        <w:bottom w:val="none" w:sz="0" w:space="0" w:color="auto"/>
        <w:right w:val="none" w:sz="0" w:space="0" w:color="auto"/>
      </w:divBdr>
    </w:div>
    <w:div w:id="1859267916">
      <w:bodyDiv w:val="1"/>
      <w:marLeft w:val="0"/>
      <w:marRight w:val="0"/>
      <w:marTop w:val="0"/>
      <w:marBottom w:val="0"/>
      <w:divBdr>
        <w:top w:val="none" w:sz="0" w:space="0" w:color="auto"/>
        <w:left w:val="none" w:sz="0" w:space="0" w:color="auto"/>
        <w:bottom w:val="none" w:sz="0" w:space="0" w:color="auto"/>
        <w:right w:val="none" w:sz="0" w:space="0" w:color="auto"/>
      </w:divBdr>
    </w:div>
    <w:div w:id="2079089303">
      <w:bodyDiv w:val="1"/>
      <w:marLeft w:val="0"/>
      <w:marRight w:val="0"/>
      <w:marTop w:val="0"/>
      <w:marBottom w:val="0"/>
      <w:divBdr>
        <w:top w:val="none" w:sz="0" w:space="0" w:color="auto"/>
        <w:left w:val="none" w:sz="0" w:space="0" w:color="auto"/>
        <w:bottom w:val="none" w:sz="0" w:space="0" w:color="auto"/>
        <w:right w:val="none" w:sz="0" w:space="0" w:color="auto"/>
      </w:divBdr>
    </w:div>
    <w:div w:id="2105571110">
      <w:bodyDiv w:val="1"/>
      <w:marLeft w:val="0"/>
      <w:marRight w:val="0"/>
      <w:marTop w:val="0"/>
      <w:marBottom w:val="0"/>
      <w:divBdr>
        <w:top w:val="none" w:sz="0" w:space="0" w:color="auto"/>
        <w:left w:val="none" w:sz="0" w:space="0" w:color="auto"/>
        <w:bottom w:val="none" w:sz="0" w:space="0" w:color="auto"/>
        <w:right w:val="none" w:sz="0" w:space="0" w:color="auto"/>
      </w:divBdr>
    </w:div>
    <w:div w:id="213983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zekwudoc@veritas.edu.ng" TargetMode="External"/><Relationship Id="rId18" Type="http://schemas.openxmlformats.org/officeDocument/2006/relationships/image" Target="media/image7.emf"/><Relationship Id="rId26" Type="http://schemas.openxmlformats.org/officeDocument/2006/relationships/hyperlink" Target="https://doi.org/10.1016/j.jenvrad.2008.12.001" TargetMode="External"/><Relationship Id="rId3" Type="http://schemas.openxmlformats.org/officeDocument/2006/relationships/settings" Target="settings.xml"/><Relationship Id="rId21" Type="http://schemas.openxmlformats.org/officeDocument/2006/relationships/hyperlink" Target="https://doi.org/10.1080/10420150.2024.2305876" TargetMode="External"/><Relationship Id="rId7" Type="http://schemas.openxmlformats.org/officeDocument/2006/relationships/hyperlink" Target="https://doi.org/10.62292/njp.v35(s).2026.653" TargetMode="External"/><Relationship Id="rId12" Type="http://schemas.openxmlformats.org/officeDocument/2006/relationships/image" Target="media/image4.svg"/><Relationship Id="rId17" Type="http://schemas.openxmlformats.org/officeDocument/2006/relationships/image" Target="media/image6.png"/><Relationship Id="rId25" Type="http://schemas.openxmlformats.org/officeDocument/2006/relationships/hyperlink" Target="https://doi.org/10.1007/S00411-006-0085-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hyperlink" Target="https://doi.org/10.1080/16583655.2024.23665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i.org/10.52589/AJENSR-QQEZNFK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doi.org/10.1029/WR014I004P00601" TargetMode="External"/><Relationship Id="rId28" Type="http://schemas.openxmlformats.org/officeDocument/2006/relationships/hyperlink" Target="https://doi.org/10.1007/s10661-025-13988-6" TargetMode="External"/><Relationship Id="rId10" Type="http://schemas.openxmlformats.org/officeDocument/2006/relationships/image" Target="media/image2.png"/><Relationship Id="rId19" Type="http://schemas.openxmlformats.org/officeDocument/2006/relationships/image" Target="media/image8.emf"/><Relationship Id="rId31" Type="http://schemas.openxmlformats.org/officeDocument/2006/relationships/hyperlink" Target="https://doi.org/10.29322/IJSRP.12.04.2022.p12427"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yperlink" Target="https://doi.org/10.1016/j.jenvrad.2022.106932" TargetMode="External"/><Relationship Id="rId27" Type="http://schemas.openxmlformats.org/officeDocument/2006/relationships/hyperlink" Target="https://doi.org/10.1016/j.icrp.2007.10.003" TargetMode="External"/><Relationship Id="rId30" Type="http://schemas.openxmlformats.org/officeDocument/2006/relationships/hyperlink" Target="https://doi.org/10.1016/j.hazadv.2023.100288" TargetMode="External"/><Relationship Id="rId8" Type="http://schemas.openxmlformats.org/officeDocument/2006/relationships/hyperlink" Target="https://doi.org/10.62292/njp.v35(s).2026.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6647</Words>
  <Characters>37891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dc:creator>
  <cp:keywords/>
  <dc:description/>
  <cp:lastModifiedBy>SPUNKY</cp:lastModifiedBy>
  <cp:revision>3</cp:revision>
  <cp:lastPrinted>2026-01-18T19:07:00Z</cp:lastPrinted>
  <dcterms:created xsi:type="dcterms:W3CDTF">2026-09-09T08:55:00Z</dcterms:created>
  <dcterms:modified xsi:type="dcterms:W3CDTF">2026-09-09T08:56:00Z</dcterms:modified>
</cp:coreProperties>
</file>